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9AD94">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0"/>
        <w:rPr>
          <w:rFonts w:hint="eastAsia"/>
          <w:b/>
          <w:bCs/>
          <w:sz w:val="36"/>
          <w:szCs w:val="36"/>
          <w:lang w:val="en-US" w:eastAsia="zh-CN"/>
        </w:rPr>
      </w:pPr>
      <w:bookmarkStart w:id="0" w:name="_Toc4813"/>
      <w:bookmarkStart w:id="1" w:name="_Toc5666"/>
    </w:p>
    <w:p w14:paraId="00F6E2E5">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0"/>
        <w:rPr>
          <w:rFonts w:hint="eastAsia"/>
          <w:b/>
          <w:bCs/>
          <w:sz w:val="44"/>
          <w:szCs w:val="44"/>
          <w:lang w:val="en-US" w:eastAsia="zh-CN"/>
        </w:rPr>
      </w:pPr>
    </w:p>
    <w:p w14:paraId="3557C71F">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0"/>
        <w:rPr>
          <w:rFonts w:hint="eastAsia"/>
          <w:b/>
          <w:bCs/>
          <w:sz w:val="44"/>
          <w:szCs w:val="44"/>
          <w:lang w:val="en-US" w:eastAsia="zh-CN"/>
        </w:rPr>
      </w:pPr>
    </w:p>
    <w:p w14:paraId="6440EC0B">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0"/>
        <w:rPr>
          <w:rFonts w:hint="default" w:ascii="Times New Roman" w:eastAsia="宋体"/>
          <w:b/>
          <w:bCs/>
          <w:sz w:val="36"/>
          <w:szCs w:val="36"/>
          <w:lang w:val="en-US" w:eastAsia="zh-CN"/>
        </w:rPr>
      </w:pPr>
      <w:r>
        <w:rPr>
          <w:rFonts w:hint="eastAsia"/>
          <w:b/>
          <w:bCs/>
          <w:sz w:val="44"/>
          <w:szCs w:val="44"/>
          <w:lang w:val="en-US" w:eastAsia="zh-CN"/>
        </w:rPr>
        <w:t>XX纠纷诉讼项目</w:t>
      </w:r>
      <w:bookmarkEnd w:id="0"/>
      <w:bookmarkEnd w:id="1"/>
      <w:r>
        <w:rPr>
          <w:rFonts w:hint="eastAsia"/>
          <w:b/>
          <w:bCs/>
          <w:sz w:val="44"/>
          <w:szCs w:val="44"/>
          <w:lang w:val="en-US" w:eastAsia="zh-CN"/>
        </w:rPr>
        <w:t>报价文件</w:t>
      </w:r>
    </w:p>
    <w:p w14:paraId="39BA5D59"/>
    <w:p w14:paraId="28214BF1"/>
    <w:p w14:paraId="2DFA0F12"/>
    <w:p w14:paraId="2B332469"/>
    <w:p w14:paraId="5935E1AB"/>
    <w:p w14:paraId="1C618296"/>
    <w:p w14:paraId="32F0EBA2"/>
    <w:p w14:paraId="53E552B1"/>
    <w:p w14:paraId="668EE5ED"/>
    <w:p w14:paraId="66EB3697"/>
    <w:p w14:paraId="0726CC26"/>
    <w:p w14:paraId="78352145"/>
    <w:p w14:paraId="490B4F36"/>
    <w:p w14:paraId="5CE1AEF3"/>
    <w:p w14:paraId="6E44DCCF"/>
    <w:p w14:paraId="41C30E35"/>
    <w:p w14:paraId="41C83631"/>
    <w:p w14:paraId="76E02277"/>
    <w:p w14:paraId="00F4B2DD">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报价人</w:t>
      </w:r>
      <w:r>
        <w:rPr>
          <w:rFonts w:hint="eastAsia" w:ascii="宋体" w:hAnsi="宋体" w:eastAsia="宋体" w:cs="宋体"/>
          <w:b/>
          <w:bCs/>
          <w:sz w:val="28"/>
          <w:szCs w:val="28"/>
        </w:rPr>
        <w:t>：</w:t>
      </w:r>
      <w:r>
        <w:rPr>
          <w:rFonts w:hint="eastAsia" w:ascii="宋体" w:hAnsi="宋体" w:eastAsia="宋体" w:cs="宋体"/>
          <w:b/>
          <w:bCs/>
          <w:sz w:val="28"/>
          <w:szCs w:val="28"/>
          <w:u w:val="none"/>
          <w:lang w:val="en-US" w:eastAsia="zh-CN"/>
        </w:rPr>
        <w:t>四川永茂</w:t>
      </w:r>
      <w:r>
        <w:rPr>
          <w:rFonts w:hint="eastAsia" w:ascii="宋体" w:hAnsi="宋体" w:eastAsia="宋体" w:cs="宋体"/>
          <w:b/>
          <w:bCs/>
          <w:sz w:val="28"/>
          <w:szCs w:val="28"/>
          <w:u w:val="none"/>
          <w:lang w:eastAsia="zh-CN"/>
        </w:rPr>
        <w:t>（</w:t>
      </w:r>
      <w:r>
        <w:rPr>
          <w:rFonts w:hint="eastAsia" w:ascii="宋体" w:hAnsi="宋体" w:eastAsia="宋体" w:cs="宋体"/>
          <w:b/>
          <w:bCs/>
          <w:sz w:val="28"/>
          <w:szCs w:val="28"/>
          <w:u w:val="none"/>
          <w:lang w:val="en-US" w:eastAsia="zh-CN"/>
        </w:rPr>
        <w:t>天府</w:t>
      </w:r>
      <w:r>
        <w:rPr>
          <w:rFonts w:hint="eastAsia" w:ascii="宋体" w:hAnsi="宋体" w:eastAsia="宋体" w:cs="宋体"/>
          <w:b/>
          <w:bCs/>
          <w:sz w:val="28"/>
          <w:szCs w:val="28"/>
          <w:u w:val="none"/>
          <w:lang w:eastAsia="zh-CN"/>
        </w:rPr>
        <w:t>）律师事务所</w:t>
      </w:r>
    </w:p>
    <w:p w14:paraId="63405591">
      <w:pPr>
        <w:spacing w:line="360" w:lineRule="auto"/>
        <w:jc w:val="center"/>
        <w:rPr>
          <w:rFonts w:hint="eastAsia" w:ascii="宋体" w:hAnsi="宋体" w:eastAsia="宋体" w:cs="宋体"/>
          <w:b/>
          <w:bCs/>
          <w:sz w:val="28"/>
          <w:szCs w:val="28"/>
        </w:rPr>
      </w:pPr>
    </w:p>
    <w:p w14:paraId="43E96A2B">
      <w:pPr>
        <w:spacing w:line="360" w:lineRule="auto"/>
        <w:ind w:firstLine="2811" w:firstLineChars="1000"/>
        <w:jc w:val="both"/>
        <w:rPr>
          <w:rFonts w:hint="eastAsia" w:ascii="宋体" w:hAnsi="宋体" w:cs="宋体"/>
          <w:b/>
          <w:bCs/>
          <w:sz w:val="28"/>
          <w:szCs w:val="28"/>
          <w:u w:val="single"/>
          <w:lang w:val="en-US" w:eastAsia="zh-CN"/>
        </w:rPr>
      </w:pPr>
      <w:r>
        <w:rPr>
          <w:rFonts w:hint="eastAsia" w:ascii="宋体" w:hAnsi="宋体" w:eastAsia="宋体" w:cs="宋体"/>
          <w:b/>
          <w:bCs/>
          <w:sz w:val="28"/>
          <w:szCs w:val="28"/>
        </w:rPr>
        <w:t>负责人：</w:t>
      </w:r>
      <w:r>
        <w:rPr>
          <w:rFonts w:hint="eastAsia" w:ascii="宋体" w:hAnsi="宋体" w:cs="宋体"/>
          <w:b/>
          <w:bCs/>
          <w:sz w:val="28"/>
          <w:szCs w:val="28"/>
          <w:u w:val="none"/>
          <w:lang w:val="en-US" w:eastAsia="zh-CN"/>
        </w:rPr>
        <w:t>XXX、XXX</w:t>
      </w:r>
    </w:p>
    <w:p w14:paraId="09B7CB3E">
      <w:pPr>
        <w:spacing w:line="360" w:lineRule="auto"/>
        <w:ind w:firstLine="2811" w:firstLineChars="1000"/>
        <w:jc w:val="both"/>
        <w:rPr>
          <w:rFonts w:hint="eastAsia" w:ascii="宋体" w:hAnsi="宋体" w:cs="宋体"/>
          <w:b/>
          <w:bCs/>
          <w:sz w:val="28"/>
          <w:szCs w:val="28"/>
          <w:u w:val="single"/>
          <w:lang w:val="en-US" w:eastAsia="zh-CN"/>
        </w:rPr>
      </w:pPr>
    </w:p>
    <w:p w14:paraId="64ABF23F">
      <w:pPr>
        <w:ind w:firstLine="2811" w:firstLineChars="1000"/>
        <w:jc w:val="both"/>
        <w:rPr>
          <w:rFonts w:hint="eastAsia" w:ascii="宋体" w:hAnsi="宋体" w:eastAsia="宋体" w:cs="宋体"/>
          <w:b/>
          <w:bCs/>
          <w:sz w:val="28"/>
          <w:szCs w:val="28"/>
        </w:rPr>
      </w:pPr>
      <w:r>
        <w:rPr>
          <w:rFonts w:hint="eastAsia" w:ascii="宋体" w:hAnsi="宋体" w:eastAsia="宋体" w:cs="宋体"/>
          <w:b/>
          <w:bCs/>
          <w:sz w:val="28"/>
          <w:szCs w:val="28"/>
          <w:u w:val="none"/>
          <w:lang w:val="en-US" w:eastAsia="zh-CN"/>
        </w:rPr>
        <w:t>202</w:t>
      </w:r>
      <w:r>
        <w:rPr>
          <w:rFonts w:hint="eastAsia" w:ascii="宋体" w:hAnsi="宋体" w:cs="宋体"/>
          <w:b/>
          <w:bCs/>
          <w:sz w:val="28"/>
          <w:szCs w:val="28"/>
          <w:u w:val="none"/>
          <w:lang w:val="en-US" w:eastAsia="zh-CN"/>
        </w:rPr>
        <w:t>X</w:t>
      </w:r>
      <w:r>
        <w:rPr>
          <w:rFonts w:hint="eastAsia" w:ascii="宋体" w:hAnsi="宋体" w:eastAsia="宋体" w:cs="宋体"/>
          <w:b/>
          <w:bCs/>
          <w:sz w:val="28"/>
          <w:szCs w:val="28"/>
        </w:rPr>
        <w:t>年</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cs="宋体"/>
          <w:b/>
          <w:bCs/>
          <w:sz w:val="28"/>
          <w:szCs w:val="28"/>
          <w:lang w:val="en-US" w:eastAsia="zh-CN"/>
        </w:rPr>
        <w:t xml:space="preserve">   </w:t>
      </w:r>
      <w:r>
        <w:rPr>
          <w:rFonts w:hint="eastAsia" w:ascii="宋体" w:hAnsi="宋体" w:eastAsia="宋体" w:cs="宋体"/>
          <w:b/>
          <w:bCs/>
          <w:sz w:val="28"/>
          <w:szCs w:val="28"/>
        </w:rPr>
        <w:t>日</w:t>
      </w:r>
    </w:p>
    <w:p w14:paraId="29D7D2C9">
      <w:pPr>
        <w:jc w:val="center"/>
        <w:rPr>
          <w:rFonts w:hint="eastAsia" w:ascii="宋体" w:hAnsi="宋体" w:eastAsia="宋体" w:cs="宋体"/>
          <w:b/>
          <w:bCs/>
          <w:sz w:val="28"/>
          <w:szCs w:val="28"/>
        </w:rPr>
      </w:pPr>
    </w:p>
    <w:p w14:paraId="14CB55C8">
      <w:pPr>
        <w:jc w:val="center"/>
        <w:rPr>
          <w:rFonts w:hint="eastAsia" w:ascii="宋体" w:hAnsi="宋体" w:eastAsia="宋体" w:cs="宋体"/>
          <w:b/>
          <w:bCs/>
          <w:sz w:val="28"/>
          <w:szCs w:val="28"/>
        </w:rPr>
      </w:pPr>
    </w:p>
    <w:p w14:paraId="05C892FD">
      <w:pPr>
        <w:jc w:val="center"/>
        <w:rPr>
          <w:rFonts w:hint="eastAsia" w:ascii="宋体" w:hAnsi="宋体" w:eastAsia="宋体" w:cs="宋体"/>
          <w:b/>
          <w:bCs/>
          <w:sz w:val="28"/>
          <w:szCs w:val="28"/>
        </w:rPr>
      </w:pPr>
    </w:p>
    <w:p w14:paraId="23FE164D">
      <w:pPr>
        <w:jc w:val="center"/>
        <w:rPr>
          <w:rFonts w:hint="eastAsia" w:ascii="宋体" w:hAnsi="宋体" w:eastAsia="宋体" w:cs="宋体"/>
          <w:b/>
          <w:bCs/>
          <w:sz w:val="28"/>
          <w:szCs w:val="28"/>
        </w:rPr>
      </w:pPr>
    </w:p>
    <w:p w14:paraId="320E1DEF">
      <w:pPr>
        <w:jc w:val="both"/>
        <w:rPr>
          <w:rFonts w:hint="eastAsia" w:ascii="宋体" w:hAnsi="宋体" w:eastAsia="宋体" w:cs="宋体"/>
          <w:b/>
          <w:bCs/>
          <w:sz w:val="28"/>
          <w:szCs w:val="28"/>
        </w:rPr>
        <w:sectPr>
          <w:headerReference r:id="rId3" w:type="default"/>
          <w:pgSz w:w="11906" w:h="16838"/>
          <w:pgMar w:top="1440" w:right="1800" w:bottom="1440" w:left="1800" w:header="851" w:footer="992" w:gutter="0"/>
          <w:cols w:space="425" w:num="1"/>
          <w:docGrid w:type="lines" w:linePitch="312" w:charSpace="0"/>
        </w:sectPr>
      </w:pPr>
    </w:p>
    <w:p w14:paraId="4F5D6556">
      <w:pPr>
        <w:jc w:val="both"/>
        <w:rPr>
          <w:rFonts w:hint="eastAsia" w:ascii="宋体" w:hAnsi="宋体" w:eastAsia="宋体" w:cs="宋体"/>
          <w:b/>
          <w:bCs/>
          <w:sz w:val="28"/>
          <w:szCs w:val="28"/>
        </w:rPr>
      </w:pPr>
    </w:p>
    <w:p w14:paraId="121DC061">
      <w:pPr>
        <w:pStyle w:val="2"/>
        <w:keepNext/>
        <w:keepLines/>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sz w:val="30"/>
          <w:szCs w:val="30"/>
          <w:lang w:val="en-US" w:eastAsia="zh-CN"/>
        </w:rPr>
      </w:pPr>
      <w:r>
        <w:rPr>
          <w:rFonts w:hint="eastAsia"/>
          <w:sz w:val="30"/>
          <w:szCs w:val="30"/>
          <w:lang w:val="en-US" w:eastAsia="zh-CN"/>
        </w:rPr>
        <w:t>律所简介</w:t>
      </w:r>
    </w:p>
    <w:p w14:paraId="67C83DB2">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ind w:right="0" w:firstLine="482" w:firstLineChars="200"/>
        <w:jc w:val="left"/>
        <w:textAlignment w:val="auto"/>
        <w:rPr>
          <w:rFonts w:hint="eastAsia" w:ascii="宋体" w:hAnsi="宋体" w:eastAsia="宋体" w:cs="宋体"/>
          <w:b/>
          <w:bCs/>
          <w:color w:val="000000"/>
          <w:kern w:val="24"/>
          <w:sz w:val="24"/>
          <w:szCs w:val="24"/>
          <w:lang w:val="en-US" w:eastAsia="zh-CN" w:bidi="ar"/>
        </w:rPr>
      </w:pPr>
      <w:r>
        <w:rPr>
          <w:rFonts w:hint="eastAsia" w:ascii="宋体" w:hAnsi="宋体" w:eastAsia="宋体" w:cs="宋体"/>
          <w:b/>
          <w:bCs/>
          <w:color w:val="000000"/>
          <w:kern w:val="24"/>
          <w:sz w:val="24"/>
          <w:szCs w:val="24"/>
          <w:lang w:val="en-US" w:eastAsia="zh-CN" w:bidi="ar"/>
        </w:rPr>
        <w:t>永茂律所成立于2012年，历经十余年“精耕细作、求真务实”的持续稳步发展，永茂业已成为一家“立足成都，服务川渝，着眼西部，链接丝路”的四川本土综合性律师事务所。</w:t>
      </w:r>
    </w:p>
    <w:p w14:paraId="7E5F7CA0">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ind w:right="0" w:firstLine="482" w:firstLineChars="200"/>
        <w:jc w:val="left"/>
        <w:textAlignment w:val="auto"/>
        <w:rPr>
          <w:rFonts w:hint="eastAsia" w:ascii="宋体" w:hAnsi="宋体" w:eastAsia="宋体" w:cs="宋体"/>
          <w:b/>
          <w:bCs/>
          <w:color w:val="000000"/>
          <w:kern w:val="24"/>
          <w:sz w:val="24"/>
          <w:szCs w:val="24"/>
        </w:rPr>
      </w:pPr>
      <w:r>
        <w:rPr>
          <w:rFonts w:hint="eastAsia" w:ascii="宋体" w:hAnsi="宋体" w:eastAsia="宋体" w:cs="宋体"/>
          <w:b/>
          <w:bCs/>
          <w:color w:val="000000"/>
          <w:kern w:val="24"/>
          <w:sz w:val="24"/>
          <w:szCs w:val="24"/>
          <w:lang w:val="en-US" w:eastAsia="zh-CN" w:bidi="ar"/>
        </w:rPr>
        <w:t>截止目前，永茂所在川设立“环球中心”、“天府新区”两处发展路径不同的办公室，基于对人才建设的不断投入，永茂拥有执业律师和行辅人员上百人，为四川省委省政府、四川省生态环境保护厅、四川省交通运输厅、成都市委市政府</w:t>
      </w:r>
      <w:r>
        <w:rPr>
          <w:rFonts w:hint="eastAsia" w:ascii="宋体" w:hAnsi="宋体" w:cs="宋体"/>
          <w:b/>
          <w:bCs/>
          <w:color w:val="000000"/>
          <w:kern w:val="24"/>
          <w:sz w:val="24"/>
          <w:szCs w:val="24"/>
          <w:lang w:val="en-US" w:eastAsia="zh-CN" w:bidi="ar"/>
        </w:rPr>
        <w:t>、</w:t>
      </w:r>
      <w:r>
        <w:rPr>
          <w:rFonts w:hint="eastAsia" w:ascii="宋体" w:hAnsi="宋体" w:eastAsia="宋体" w:cs="宋体"/>
          <w:b/>
          <w:bCs/>
          <w:color w:val="000000"/>
          <w:kern w:val="24"/>
          <w:sz w:val="24"/>
          <w:szCs w:val="24"/>
          <w:lang w:val="en-US" w:eastAsia="zh-CN" w:bidi="ar"/>
        </w:rPr>
        <w:t>自贡市委市政府、眉山市市委市政府</w:t>
      </w:r>
      <w:r>
        <w:rPr>
          <w:rFonts w:hint="eastAsia" w:ascii="宋体" w:hAnsi="宋体" w:cs="宋体"/>
          <w:b/>
          <w:bCs/>
          <w:color w:val="000000"/>
          <w:kern w:val="24"/>
          <w:sz w:val="24"/>
          <w:szCs w:val="24"/>
          <w:lang w:val="en-US" w:eastAsia="zh-CN" w:bidi="ar"/>
        </w:rPr>
        <w:t>、</w:t>
      </w:r>
      <w:r>
        <w:rPr>
          <w:rFonts w:hint="eastAsia" w:ascii="宋体" w:hAnsi="宋体" w:eastAsia="宋体" w:cs="宋体"/>
          <w:b/>
          <w:bCs/>
          <w:color w:val="000000"/>
          <w:kern w:val="24"/>
          <w:sz w:val="24"/>
          <w:szCs w:val="24"/>
          <w:lang w:val="en-US" w:eastAsia="zh-CN" w:bidi="ar"/>
        </w:rPr>
        <w:t>成都市教育局、成都市成华区人民政府、</w:t>
      </w:r>
      <w:r>
        <w:rPr>
          <w:rFonts w:hint="eastAsia" w:ascii="宋体" w:hAnsi="宋体" w:cs="宋体"/>
          <w:b/>
          <w:bCs/>
          <w:color w:val="000000"/>
          <w:kern w:val="24"/>
          <w:sz w:val="24"/>
          <w:szCs w:val="24"/>
          <w:lang w:val="en-US" w:eastAsia="zh-CN" w:bidi="ar"/>
        </w:rPr>
        <w:t>成都市温江区</w:t>
      </w:r>
      <w:r>
        <w:rPr>
          <w:rFonts w:hint="eastAsia" w:ascii="宋体" w:hAnsi="宋体" w:eastAsia="宋体" w:cs="宋体"/>
          <w:b/>
          <w:bCs/>
          <w:color w:val="000000"/>
          <w:kern w:val="24"/>
          <w:sz w:val="24"/>
          <w:szCs w:val="24"/>
          <w:lang w:val="en-US" w:eastAsia="zh-CN" w:bidi="ar"/>
        </w:rPr>
        <w:t>人民政府、大邑县人民政府、道孚县人民政府、洪雅县人民政府、松潘县人民政府、成都市金牛区司法局、成都市青羊区文化体育旅游局、西藏昌都市财政局、绵阳市国有资产监督管理委员会、绵阳市游仙区财政局、四川省铁路集团有限责任公司、四川港航建筑工程有限公司、中诚投建工集团有限公司、四川山力房地产开发有限公司、绵阳科技城发展投资(集团)有限公司等超过两百家政府</w:t>
      </w:r>
      <w:r>
        <w:rPr>
          <w:rFonts w:hint="eastAsia" w:ascii="宋体" w:hAnsi="宋体" w:cs="宋体"/>
          <w:b/>
          <w:bCs/>
          <w:color w:val="000000"/>
          <w:kern w:val="24"/>
          <w:sz w:val="24"/>
          <w:szCs w:val="24"/>
          <w:lang w:val="en-US" w:eastAsia="zh-CN" w:bidi="ar"/>
        </w:rPr>
        <w:t>机关、企事业</w:t>
      </w:r>
      <w:r>
        <w:rPr>
          <w:rFonts w:hint="eastAsia" w:ascii="宋体" w:hAnsi="宋体" w:eastAsia="宋体" w:cs="宋体"/>
          <w:b/>
          <w:bCs/>
          <w:color w:val="000000"/>
          <w:kern w:val="24"/>
          <w:sz w:val="24"/>
          <w:szCs w:val="24"/>
          <w:lang w:val="en-US" w:eastAsia="zh-CN" w:bidi="ar"/>
        </w:rPr>
        <w:t>单位提供法律服务，并累积办理了数千件各类案件。</w:t>
      </w:r>
    </w:p>
    <w:p w14:paraId="6C8994DC">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ind w:right="0" w:firstLine="480" w:firstLineChars="200"/>
        <w:jc w:val="left"/>
        <w:textAlignment w:val="auto"/>
        <w:rPr>
          <w:rFonts w:hint="eastAsia" w:ascii="宋体" w:hAnsi="宋体" w:eastAsia="宋体" w:cs="宋体"/>
          <w:color w:val="000000"/>
          <w:kern w:val="24"/>
          <w:sz w:val="24"/>
          <w:szCs w:val="24"/>
        </w:rPr>
      </w:pPr>
      <w:r>
        <w:rPr>
          <w:rFonts w:hint="eastAsia" w:ascii="宋体" w:hAnsi="宋体" w:eastAsia="宋体" w:cs="宋体"/>
          <w:color w:val="000000"/>
          <w:kern w:val="24"/>
          <w:sz w:val="24"/>
          <w:szCs w:val="24"/>
          <w:lang w:val="en-US" w:eastAsia="zh-CN" w:bidi="ar"/>
        </w:rPr>
        <w:t>我们坚守诚信，愿意将法律人对公平正义的价值追求与实事求是的专业精神体现在优秀法律成果交付、客户产业价值发现、社会福利供给参与上；我们有着超越自身的追求，勇于挑战自我，乐于与法律职业共同体切磋交流，不断突破极限，拓展新的疆域，时刻从客户角度出发追踪最新动态；我们与许多优秀的合作伙伴建立了长期联系，建立了外聘专家顾问团队以及</w:t>
      </w:r>
      <w:r>
        <w:rPr>
          <w:rFonts w:hint="eastAsia" w:ascii="宋体" w:hAnsi="宋体" w:cs="宋体"/>
          <w:color w:val="000000"/>
          <w:kern w:val="24"/>
          <w:sz w:val="24"/>
          <w:szCs w:val="24"/>
          <w:lang w:val="en-US" w:eastAsia="zh-CN" w:bidi="ar"/>
        </w:rPr>
        <w:t>公共知识管理数据库</w:t>
      </w:r>
      <w:r>
        <w:rPr>
          <w:rFonts w:hint="eastAsia" w:ascii="宋体" w:hAnsi="宋体" w:eastAsia="宋体" w:cs="宋体"/>
          <w:color w:val="000000"/>
          <w:kern w:val="24"/>
          <w:sz w:val="24"/>
          <w:szCs w:val="24"/>
          <w:lang w:val="en-US" w:eastAsia="zh-CN" w:bidi="ar"/>
        </w:rPr>
        <w:t>，能够及时准确地把握国内最新立法、执法、司法动态。</w:t>
      </w:r>
    </w:p>
    <w:p w14:paraId="7DA27CEB">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ind w:right="0" w:firstLine="480" w:firstLineChars="200"/>
        <w:jc w:val="both"/>
        <w:textAlignment w:val="auto"/>
        <w:rPr>
          <w:rFonts w:hint="eastAsia" w:ascii="宋体" w:hAnsi="宋体" w:eastAsia="宋体" w:cs="宋体"/>
          <w:color w:val="000000"/>
          <w:kern w:val="24"/>
          <w:sz w:val="24"/>
          <w:szCs w:val="24"/>
          <w:lang w:val="en-US" w:eastAsia="zh-CN" w:bidi="ar"/>
        </w:rPr>
      </w:pPr>
      <w:r>
        <w:rPr>
          <w:rFonts w:hint="eastAsia" w:ascii="宋体" w:hAnsi="宋体" w:eastAsia="宋体" w:cs="宋体"/>
          <w:color w:val="000000"/>
          <w:kern w:val="24"/>
          <w:sz w:val="24"/>
          <w:szCs w:val="24"/>
          <w:lang w:val="en-US" w:eastAsia="zh-CN" w:bidi="ar"/>
        </w:rPr>
        <w:t>我们深知您需要的不仅是专业的法律建议，更需要忠诚的合作伙伴，为您的权益保障和转型变革提供智力支持，我们能够充分理解客户在商业环境中的法律需求，</w:t>
      </w:r>
      <w:r>
        <w:rPr>
          <w:rFonts w:hint="eastAsia" w:ascii="宋体" w:hAnsi="宋体" w:cs="宋体"/>
          <w:color w:val="000000"/>
          <w:kern w:val="24"/>
          <w:sz w:val="24"/>
          <w:szCs w:val="24"/>
          <w:lang w:val="en-US" w:eastAsia="zh-CN" w:bidi="ar"/>
        </w:rPr>
        <w:t>亦竭诚</w:t>
      </w:r>
      <w:r>
        <w:rPr>
          <w:rFonts w:hint="eastAsia" w:ascii="宋体" w:hAnsi="宋体" w:eastAsia="宋体" w:cs="宋体"/>
          <w:color w:val="000000"/>
          <w:kern w:val="24"/>
          <w:sz w:val="24"/>
          <w:szCs w:val="24"/>
          <w:lang w:val="en-US" w:eastAsia="zh-CN" w:bidi="ar"/>
        </w:rPr>
        <w:t>为客户制定一站式的法律服务。</w:t>
      </w:r>
    </w:p>
    <w:p w14:paraId="0DFA828C">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000000"/>
          <w:kern w:val="24"/>
          <w:sz w:val="24"/>
          <w:szCs w:val="24"/>
          <w:lang w:val="en-US" w:eastAsia="zh-CN" w:bidi="ar"/>
        </w:rPr>
      </w:pPr>
    </w:p>
    <w:p w14:paraId="3611FBA1">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000000"/>
          <w:kern w:val="24"/>
          <w:sz w:val="24"/>
          <w:szCs w:val="24"/>
          <w:lang w:val="en-US" w:eastAsia="zh-CN" w:bidi="ar"/>
        </w:rPr>
      </w:pPr>
    </w:p>
    <w:p w14:paraId="393258CD">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000000"/>
          <w:kern w:val="24"/>
          <w:sz w:val="24"/>
          <w:szCs w:val="24"/>
          <w:lang w:val="en-US" w:eastAsia="zh-CN" w:bidi="ar"/>
        </w:rPr>
      </w:pPr>
    </w:p>
    <w:p w14:paraId="21241396">
      <w:pPr>
        <w:pStyle w:val="2"/>
        <w:keepNext/>
        <w:keepLines/>
        <w:pageBreakBefore w:val="0"/>
        <w:widowControl w:val="0"/>
        <w:kinsoku/>
        <w:wordWrap/>
        <w:overflowPunct/>
        <w:topLinePunct w:val="0"/>
        <w:autoSpaceDE/>
        <w:autoSpaceDN/>
        <w:bidi w:val="0"/>
        <w:adjustRightInd/>
        <w:snapToGrid/>
        <w:spacing w:line="480" w:lineRule="auto"/>
        <w:textAlignment w:val="auto"/>
        <w:rPr>
          <w:rFonts w:hint="default"/>
          <w:sz w:val="30"/>
          <w:szCs w:val="30"/>
          <w:lang w:val="en-US" w:eastAsia="zh-CN"/>
        </w:rPr>
      </w:pPr>
      <w:bookmarkStart w:id="2" w:name="_Toc29906"/>
      <w:bookmarkStart w:id="3" w:name="_Toc17857"/>
      <w:r>
        <w:rPr>
          <w:rFonts w:hint="eastAsia"/>
          <w:sz w:val="30"/>
          <w:szCs w:val="30"/>
          <w:lang w:val="en-US" w:eastAsia="zh-CN"/>
        </w:rPr>
        <w:t>服务方案</w:t>
      </w:r>
      <w:bookmarkEnd w:id="2"/>
      <w:bookmarkEnd w:id="3"/>
    </w:p>
    <w:p w14:paraId="7F961B33">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eastAsia" w:ascii="宋体" w:hAnsi="宋体" w:eastAsia="宋体" w:cs="宋体"/>
          <w:b/>
          <w:bCs/>
          <w:sz w:val="24"/>
          <w:szCs w:val="22"/>
          <w:lang w:val="en-US" w:eastAsia="zh-CN"/>
        </w:rPr>
      </w:pPr>
      <w:r>
        <w:rPr>
          <w:rFonts w:hint="eastAsia" w:ascii="宋体" w:hAnsi="宋体" w:cs="宋体"/>
          <w:b/>
          <w:bCs/>
          <w:sz w:val="24"/>
          <w:szCs w:val="22"/>
          <w:lang w:val="en-US" w:eastAsia="zh-CN"/>
        </w:rPr>
        <w:t>案情简介及简要分析</w:t>
      </w:r>
    </w:p>
    <w:p w14:paraId="5D1FA466">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诉讼</w:t>
      </w:r>
      <w:r>
        <w:rPr>
          <w:rFonts w:hint="eastAsia" w:ascii="宋体" w:hAnsi="宋体" w:cs="宋体"/>
          <w:b/>
          <w:bCs/>
          <w:sz w:val="24"/>
          <w:szCs w:val="22"/>
          <w:lang w:val="en-US" w:eastAsia="zh-CN"/>
        </w:rPr>
        <w:t>代理思路</w:t>
      </w:r>
    </w:p>
    <w:p w14:paraId="2CC5DF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default" w:ascii="宋体" w:hAnsi="宋体" w:eastAsia="宋体" w:cs="宋体"/>
          <w:b/>
          <w:bCs/>
          <w:sz w:val="24"/>
          <w:szCs w:val="22"/>
          <w:lang w:val="en-US" w:eastAsia="zh-CN"/>
        </w:rPr>
      </w:pPr>
      <w:r>
        <w:rPr>
          <w:rFonts w:hint="eastAsia" w:ascii="宋体" w:hAnsi="宋体" w:cs="宋体"/>
          <w:b/>
          <w:bCs/>
          <w:sz w:val="24"/>
          <w:szCs w:val="22"/>
          <w:lang w:val="en-US" w:eastAsia="zh-CN"/>
        </w:rPr>
        <w:t>三、</w:t>
      </w:r>
      <w:r>
        <w:rPr>
          <w:rFonts w:hint="eastAsia" w:ascii="宋体" w:hAnsi="宋体" w:eastAsia="宋体" w:cs="宋体"/>
          <w:b/>
          <w:bCs/>
          <w:sz w:val="24"/>
          <w:szCs w:val="22"/>
          <w:lang w:val="en-US" w:eastAsia="zh-CN"/>
        </w:rPr>
        <w:t>服务方案</w:t>
      </w:r>
    </w:p>
    <w:p w14:paraId="770EBF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default" w:ascii="宋体" w:hAnsi="宋体" w:cs="宋体"/>
          <w:b/>
          <w:bCs/>
          <w:sz w:val="24"/>
          <w:szCs w:val="22"/>
          <w:lang w:val="en-US" w:eastAsia="zh-CN"/>
        </w:rPr>
      </w:pPr>
      <w:r>
        <w:rPr>
          <w:rFonts w:hint="eastAsia" w:ascii="宋体" w:hAnsi="宋体" w:cs="宋体"/>
          <w:b/>
          <w:bCs/>
          <w:sz w:val="24"/>
          <w:szCs w:val="22"/>
          <w:lang w:val="en-US" w:eastAsia="zh-CN"/>
        </w:rPr>
        <w:t>1、服务团队简介</w:t>
      </w:r>
    </w:p>
    <w:p w14:paraId="301500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eastAsia" w:ascii="宋体" w:hAnsi="宋体" w:cs="宋体"/>
          <w:b/>
          <w:bCs/>
          <w:sz w:val="24"/>
          <w:szCs w:val="22"/>
          <w:lang w:val="en-US" w:eastAsia="zh-CN"/>
        </w:rPr>
      </w:pPr>
      <w:r>
        <w:rPr>
          <w:rFonts w:hint="eastAsia" w:ascii="宋体" w:hAnsi="宋体" w:cs="宋体"/>
          <w:b/>
          <w:bCs/>
          <w:sz w:val="24"/>
          <w:szCs w:val="22"/>
          <w:lang w:val="en-US" w:eastAsia="zh-CN"/>
        </w:rPr>
        <w:t>2、类似案例</w:t>
      </w:r>
    </w:p>
    <w:p w14:paraId="2F4BAA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2" w:firstLineChars="200"/>
        <w:jc w:val="both"/>
        <w:textAlignment w:val="auto"/>
        <w:rPr>
          <w:rFonts w:hint="default" w:ascii="宋体" w:hAnsi="宋体" w:cs="宋体"/>
          <w:b/>
          <w:bCs/>
          <w:sz w:val="24"/>
          <w:szCs w:val="22"/>
          <w:lang w:val="en-US" w:eastAsia="zh-CN"/>
        </w:rPr>
      </w:pPr>
      <w:r>
        <w:rPr>
          <w:rFonts w:hint="eastAsia" w:ascii="宋体" w:hAnsi="宋体" w:cs="宋体"/>
          <w:b/>
          <w:bCs/>
          <w:sz w:val="24"/>
          <w:szCs w:val="22"/>
          <w:lang w:val="en-US" w:eastAsia="zh-CN"/>
        </w:rPr>
        <w:t>3、服务报价</w:t>
      </w:r>
    </w:p>
    <w:p w14:paraId="0C4BA8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6B6C13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35E08E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6BE0E7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47930DFF">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598939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38C1CF0F">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28C5EEB7">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02680A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25193A7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5F34CD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762B88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2EE1B8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5CB040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eastAsia" w:ascii="宋体" w:hAnsi="宋体" w:eastAsia="宋体" w:cs="宋体"/>
          <w:b w:val="0"/>
          <w:bCs w:val="0"/>
          <w:kern w:val="2"/>
          <w:sz w:val="24"/>
          <w:szCs w:val="24"/>
          <w:highlight w:val="none"/>
          <w:lang w:val="en-US" w:eastAsia="zh-CN" w:bidi="ar-SA"/>
        </w:rPr>
      </w:pPr>
    </w:p>
    <w:p w14:paraId="1DCF1E83">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textAlignment w:val="auto"/>
        <w:outlineLvl w:val="9"/>
        <w:rPr>
          <w:rFonts w:hint="eastAsia" w:ascii="宋体" w:hAnsi="宋体" w:eastAsia="宋体" w:cs="宋体"/>
          <w:b w:val="0"/>
          <w:bCs w:val="0"/>
          <w:sz w:val="24"/>
          <w:lang w:val="en-US" w:eastAsia="zh-CN"/>
        </w:rPr>
      </w:pPr>
    </w:p>
    <w:p w14:paraId="31DABB0D">
      <w:pPr>
        <w:pStyle w:val="2"/>
        <w:keepNext/>
        <w:keepLines/>
        <w:pageBreakBefore w:val="0"/>
        <w:widowControl w:val="0"/>
        <w:kinsoku/>
        <w:wordWrap/>
        <w:overflowPunct/>
        <w:topLinePunct w:val="0"/>
        <w:autoSpaceDE/>
        <w:autoSpaceDN/>
        <w:bidi w:val="0"/>
        <w:adjustRightInd/>
        <w:snapToGrid/>
        <w:spacing w:line="480" w:lineRule="auto"/>
        <w:textAlignment w:val="auto"/>
        <w:rPr>
          <w:rFonts w:hint="default"/>
          <w:sz w:val="30"/>
          <w:szCs w:val="30"/>
          <w:lang w:val="en-US" w:eastAsia="zh-CN"/>
        </w:rPr>
      </w:pPr>
      <w:bookmarkStart w:id="4" w:name="_Toc3047"/>
      <w:bookmarkStart w:id="5" w:name="_Toc28728"/>
      <w:r>
        <w:rPr>
          <w:rFonts w:hint="eastAsia"/>
          <w:sz w:val="30"/>
          <w:szCs w:val="30"/>
          <w:lang w:val="en-US" w:eastAsia="zh-CN"/>
        </w:rPr>
        <w:t>服务人员、费用标准</w:t>
      </w:r>
      <w:bookmarkEnd w:id="4"/>
      <w:bookmarkEnd w:id="5"/>
    </w:p>
    <w:p w14:paraId="52AB20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考虑本案重大、疑难复杂，本所拟派</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lang w:val="en-US" w:eastAsia="zh-CN" w:bidi="ar-SA"/>
        </w:rPr>
        <w:t>名律所主任、</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lang w:val="en-US" w:eastAsia="zh-CN" w:bidi="ar-SA"/>
        </w:rPr>
        <w:t>名主办律师、</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lang w:val="en-US" w:eastAsia="zh-CN" w:bidi="ar-SA"/>
        </w:rPr>
        <w:t>名实习律师及</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lang w:val="en-US" w:eastAsia="zh-CN" w:bidi="ar-SA"/>
        </w:rPr>
        <w:t>名</w:t>
      </w:r>
      <w:r>
        <w:rPr>
          <w:rFonts w:hint="eastAsia" w:ascii="宋体" w:hAnsi="宋体" w:eastAsia="宋体" w:cs="宋体"/>
          <w:b w:val="0"/>
          <w:bCs w:val="0"/>
          <w:kern w:val="2"/>
          <w:sz w:val="24"/>
          <w:szCs w:val="24"/>
          <w:highlight w:val="none"/>
          <w:lang w:val="en-US" w:eastAsia="zh-CN" w:bidi="ar-SA"/>
        </w:rPr>
        <w:t>行政人员组成</w:t>
      </w:r>
      <w:r>
        <w:rPr>
          <w:rFonts w:hint="eastAsia" w:ascii="宋体" w:hAnsi="宋体" w:cs="宋体"/>
          <w:b w:val="0"/>
          <w:bCs w:val="0"/>
          <w:kern w:val="2"/>
          <w:sz w:val="24"/>
          <w:szCs w:val="24"/>
          <w:highlight w:val="none"/>
          <w:lang w:val="en-US" w:eastAsia="zh-CN" w:bidi="ar-SA"/>
        </w:rPr>
        <w:t>法律</w:t>
      </w:r>
      <w:r>
        <w:rPr>
          <w:rFonts w:hint="eastAsia" w:ascii="宋体" w:hAnsi="宋体" w:eastAsia="宋体" w:cs="宋体"/>
          <w:b w:val="0"/>
          <w:bCs w:val="0"/>
          <w:kern w:val="2"/>
          <w:sz w:val="24"/>
          <w:szCs w:val="24"/>
          <w:highlight w:val="none"/>
          <w:lang w:val="en-US" w:eastAsia="zh-CN" w:bidi="ar-SA"/>
        </w:rPr>
        <w:t>服务团队，</w:t>
      </w:r>
      <w:r>
        <w:rPr>
          <w:rFonts w:hint="eastAsia" w:ascii="宋体" w:hAnsi="宋体" w:cs="宋体"/>
          <w:b w:val="0"/>
          <w:bCs w:val="0"/>
          <w:kern w:val="2"/>
          <w:sz w:val="24"/>
          <w:szCs w:val="24"/>
          <w:highlight w:val="none"/>
          <w:lang w:val="en-US" w:eastAsia="zh-CN" w:bidi="ar-SA"/>
        </w:rPr>
        <w:t>并邀请</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cs="宋体"/>
          <w:b w:val="0"/>
          <w:bCs w:val="0"/>
          <w:kern w:val="2"/>
          <w:sz w:val="24"/>
          <w:szCs w:val="24"/>
          <w:highlight w:val="none"/>
          <w:lang w:val="en-US" w:eastAsia="zh-CN" w:bidi="ar-SA"/>
        </w:rPr>
        <w:t>教授作为外聘专家，共同</w:t>
      </w:r>
      <w:r>
        <w:rPr>
          <w:rFonts w:hint="eastAsia" w:ascii="宋体" w:hAnsi="宋体" w:eastAsia="宋体" w:cs="宋体"/>
          <w:b w:val="0"/>
          <w:bCs w:val="0"/>
          <w:kern w:val="2"/>
          <w:sz w:val="24"/>
          <w:szCs w:val="24"/>
          <w:highlight w:val="none"/>
          <w:lang w:val="en-US" w:eastAsia="zh-CN" w:bidi="ar-SA"/>
        </w:rPr>
        <w:t>为贵公司</w:t>
      </w:r>
      <w:r>
        <w:rPr>
          <w:rFonts w:hint="eastAsia" w:ascii="宋体" w:hAnsi="宋体" w:cs="宋体"/>
          <w:b w:val="0"/>
          <w:bCs w:val="0"/>
          <w:kern w:val="2"/>
          <w:sz w:val="24"/>
          <w:szCs w:val="24"/>
          <w:highlight w:val="none"/>
          <w:u w:val="single"/>
          <w:lang w:val="en-US" w:eastAsia="zh-CN" w:bidi="ar-SA"/>
        </w:rPr>
        <w:t xml:space="preserve">        </w:t>
      </w:r>
      <w:r>
        <w:rPr>
          <w:rFonts w:hint="eastAsia" w:ascii="宋体" w:hAnsi="宋体" w:eastAsia="宋体" w:cs="宋体"/>
          <w:b w:val="0"/>
          <w:bCs w:val="0"/>
          <w:kern w:val="2"/>
          <w:sz w:val="24"/>
          <w:szCs w:val="24"/>
          <w:highlight w:val="none"/>
          <w:lang w:val="en-US" w:eastAsia="zh-CN" w:bidi="ar-SA"/>
        </w:rPr>
        <w:t>纠纷案件提供法律服务，依法保障贵公司合法权益。人员安排</w:t>
      </w:r>
      <w:r>
        <w:rPr>
          <w:rFonts w:hint="eastAsia" w:ascii="宋体" w:hAnsi="宋体" w:cs="宋体"/>
          <w:b w:val="0"/>
          <w:bCs w:val="0"/>
          <w:kern w:val="2"/>
          <w:sz w:val="24"/>
          <w:szCs w:val="24"/>
          <w:highlight w:val="none"/>
          <w:lang w:val="en-US" w:eastAsia="zh-CN" w:bidi="ar-SA"/>
        </w:rPr>
        <w:t>及费用标准</w:t>
      </w:r>
      <w:r>
        <w:rPr>
          <w:rFonts w:hint="eastAsia" w:ascii="宋体" w:hAnsi="宋体" w:eastAsia="宋体" w:cs="宋体"/>
          <w:b w:val="0"/>
          <w:bCs w:val="0"/>
          <w:kern w:val="2"/>
          <w:sz w:val="24"/>
          <w:szCs w:val="24"/>
          <w:highlight w:val="none"/>
          <w:lang w:val="en-US" w:eastAsia="zh-CN" w:bidi="ar-SA"/>
        </w:rPr>
        <w:t>如下：</w:t>
      </w:r>
    </w:p>
    <w:tbl>
      <w:tblPr>
        <w:tblStyle w:val="9"/>
        <w:tblW w:w="8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1"/>
        <w:gridCol w:w="1253"/>
        <w:gridCol w:w="2290"/>
        <w:gridCol w:w="3962"/>
      </w:tblGrid>
      <w:tr w14:paraId="0B71A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801" w:type="dxa"/>
            <w:noWrap w:val="0"/>
            <w:vAlign w:val="center"/>
          </w:tcPr>
          <w:p w14:paraId="549466A0">
            <w:pPr>
              <w:widowControl/>
              <w:kinsoku w:val="0"/>
              <w:autoSpaceDE w:val="0"/>
              <w:autoSpaceDN w:val="0"/>
              <w:adjustRightInd w:val="0"/>
              <w:snapToGrid w:val="0"/>
              <w:spacing w:before="264" w:line="219" w:lineRule="auto"/>
              <w:jc w:val="center"/>
              <w:textAlignment w:val="baseline"/>
              <w:rPr>
                <w:rFonts w:hint="eastAsia" w:ascii="宋体" w:hAnsi="宋体" w:eastAsia="宋体" w:cs="宋体"/>
                <w:b/>
                <w:bCs/>
                <w:snapToGrid w:val="0"/>
                <w:color w:val="000000"/>
                <w:spacing w:val="15"/>
                <w:kern w:val="0"/>
                <w:sz w:val="24"/>
                <w:szCs w:val="24"/>
                <w:lang w:val="en-US" w:eastAsia="zh-CN"/>
              </w:rPr>
            </w:pPr>
            <w:r>
              <w:rPr>
                <w:rFonts w:hint="eastAsia" w:ascii="宋体" w:hAnsi="宋体" w:eastAsia="宋体" w:cs="宋体"/>
                <w:b/>
                <w:bCs/>
                <w:snapToGrid w:val="0"/>
                <w:color w:val="000000"/>
                <w:spacing w:val="15"/>
                <w:kern w:val="0"/>
                <w:sz w:val="24"/>
                <w:szCs w:val="24"/>
                <w:lang w:val="en-US" w:eastAsia="zh-CN"/>
              </w:rPr>
              <w:t>序号</w:t>
            </w:r>
          </w:p>
        </w:tc>
        <w:tc>
          <w:tcPr>
            <w:tcW w:w="1253" w:type="dxa"/>
            <w:noWrap w:val="0"/>
            <w:vAlign w:val="center"/>
          </w:tcPr>
          <w:p w14:paraId="0C7317AC">
            <w:pPr>
              <w:widowControl/>
              <w:kinsoku w:val="0"/>
              <w:autoSpaceDE w:val="0"/>
              <w:autoSpaceDN w:val="0"/>
              <w:adjustRightInd w:val="0"/>
              <w:snapToGrid w:val="0"/>
              <w:spacing w:before="264" w:line="219" w:lineRule="auto"/>
              <w:jc w:val="center"/>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spacing w:val="15"/>
                <w:kern w:val="0"/>
                <w:sz w:val="24"/>
                <w:szCs w:val="24"/>
              </w:rPr>
              <w:t>姓名</w:t>
            </w:r>
          </w:p>
        </w:tc>
        <w:tc>
          <w:tcPr>
            <w:tcW w:w="2290" w:type="dxa"/>
            <w:noWrap w:val="0"/>
            <w:vAlign w:val="center"/>
          </w:tcPr>
          <w:p w14:paraId="6BA57794">
            <w:pPr>
              <w:widowControl/>
              <w:kinsoku w:val="0"/>
              <w:autoSpaceDE w:val="0"/>
              <w:autoSpaceDN w:val="0"/>
              <w:adjustRightInd w:val="0"/>
              <w:snapToGrid w:val="0"/>
              <w:spacing w:before="264" w:line="219" w:lineRule="auto"/>
              <w:jc w:val="center"/>
              <w:textAlignment w:val="baseline"/>
              <w:rPr>
                <w:rFonts w:hint="default"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级别</w:t>
            </w:r>
          </w:p>
        </w:tc>
        <w:tc>
          <w:tcPr>
            <w:tcW w:w="3962" w:type="dxa"/>
            <w:noWrap w:val="0"/>
            <w:vAlign w:val="center"/>
          </w:tcPr>
          <w:p w14:paraId="3AB76C5B">
            <w:pPr>
              <w:widowControl/>
              <w:kinsoku w:val="0"/>
              <w:autoSpaceDE w:val="0"/>
              <w:autoSpaceDN w:val="0"/>
              <w:adjustRightInd w:val="0"/>
              <w:snapToGrid w:val="0"/>
              <w:spacing w:before="263" w:line="219" w:lineRule="auto"/>
              <w:jc w:val="center"/>
              <w:textAlignment w:val="baseline"/>
              <w:rPr>
                <w:rFonts w:hint="eastAsia" w:ascii="宋体" w:hAnsi="宋体" w:eastAsia="宋体" w:cs="宋体"/>
                <w:b/>
                <w:bCs/>
                <w:snapToGrid w:val="0"/>
                <w:color w:val="000000"/>
                <w:kern w:val="0"/>
                <w:sz w:val="24"/>
                <w:szCs w:val="24"/>
              </w:rPr>
            </w:pPr>
            <w:r>
              <w:rPr>
                <w:rFonts w:hint="eastAsia" w:ascii="宋体" w:hAnsi="宋体" w:eastAsia="宋体" w:cs="宋体"/>
                <w:b/>
                <w:bCs/>
                <w:snapToGrid w:val="0"/>
                <w:color w:val="000000"/>
                <w:spacing w:val="1"/>
                <w:kern w:val="0"/>
                <w:sz w:val="24"/>
                <w:szCs w:val="24"/>
                <w:highlight w:val="none"/>
              </w:rPr>
              <w:t>在本项目中负责的工作内容</w:t>
            </w:r>
          </w:p>
        </w:tc>
      </w:tr>
      <w:tr w14:paraId="58BE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801" w:type="dxa"/>
            <w:noWrap w:val="0"/>
            <w:vAlign w:val="center"/>
          </w:tcPr>
          <w:p w14:paraId="132FC1A7">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c>
          <w:tcPr>
            <w:tcW w:w="1253" w:type="dxa"/>
            <w:noWrap w:val="0"/>
            <w:vAlign w:val="center"/>
          </w:tcPr>
          <w:p w14:paraId="017B1696">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2290" w:type="dxa"/>
            <w:noWrap w:val="0"/>
            <w:vAlign w:val="center"/>
          </w:tcPr>
          <w:p w14:paraId="073AE5A4">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律所主任</w:t>
            </w:r>
          </w:p>
        </w:tc>
        <w:tc>
          <w:tcPr>
            <w:tcW w:w="3962" w:type="dxa"/>
            <w:noWrap w:val="0"/>
            <w:vAlign w:val="center"/>
          </w:tcPr>
          <w:p w14:paraId="641CFBB3">
            <w:pPr>
              <w:widowControl/>
              <w:kinsoku w:val="0"/>
              <w:autoSpaceDE w:val="0"/>
              <w:autoSpaceDN w:val="0"/>
              <w:adjustRightInd w:val="0"/>
              <w:snapToGrid w:val="0"/>
              <w:spacing w:line="240" w:lineRule="auto"/>
              <w:jc w:val="both"/>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团队负责人</w:t>
            </w:r>
            <w:r>
              <w:rPr>
                <w:rFonts w:hint="eastAsia" w:ascii="宋体" w:hAnsi="宋体" w:cs="宋体"/>
                <w:snapToGrid w:val="0"/>
                <w:color w:val="000000"/>
                <w:kern w:val="0"/>
                <w:sz w:val="24"/>
                <w:szCs w:val="24"/>
                <w:lang w:val="en-US" w:eastAsia="zh-CN"/>
              </w:rPr>
              <w:t>，</w:t>
            </w:r>
            <w:r>
              <w:rPr>
                <w:rFonts w:hint="eastAsia" w:ascii="宋体" w:hAnsi="宋体" w:eastAsia="宋体" w:cs="宋体"/>
                <w:snapToGrid w:val="0"/>
                <w:color w:val="000000"/>
                <w:kern w:val="0"/>
                <w:sz w:val="24"/>
                <w:szCs w:val="24"/>
                <w:lang w:val="en-US" w:eastAsia="zh-CN"/>
              </w:rPr>
              <w:t>研判诉讼策略、预判案件胜诉概率、审核法律文书、与当事人积极沟通案件进展、参与庭审</w:t>
            </w:r>
          </w:p>
        </w:tc>
      </w:tr>
      <w:tr w14:paraId="0C56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801" w:type="dxa"/>
            <w:noWrap w:val="0"/>
            <w:vAlign w:val="center"/>
          </w:tcPr>
          <w:p w14:paraId="1BDB9CB3">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w:t>
            </w:r>
          </w:p>
        </w:tc>
        <w:tc>
          <w:tcPr>
            <w:tcW w:w="1253" w:type="dxa"/>
            <w:noWrap w:val="0"/>
            <w:vAlign w:val="center"/>
          </w:tcPr>
          <w:p w14:paraId="17DABB3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2290" w:type="dxa"/>
            <w:noWrap w:val="0"/>
            <w:vAlign w:val="center"/>
          </w:tcPr>
          <w:p w14:paraId="274A61F9">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律所副主任</w:t>
            </w:r>
          </w:p>
          <w:p w14:paraId="413CB1D7">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高级合伙人</w:t>
            </w:r>
          </w:p>
        </w:tc>
        <w:tc>
          <w:tcPr>
            <w:tcW w:w="3962" w:type="dxa"/>
            <w:noWrap w:val="0"/>
            <w:vAlign w:val="center"/>
          </w:tcPr>
          <w:p w14:paraId="63005761">
            <w:pPr>
              <w:widowControl/>
              <w:kinsoku w:val="0"/>
              <w:autoSpaceDE w:val="0"/>
              <w:autoSpaceDN w:val="0"/>
              <w:adjustRightInd w:val="0"/>
              <w:snapToGrid w:val="0"/>
              <w:spacing w:line="240" w:lineRule="auto"/>
              <w:jc w:val="both"/>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团队负责人</w:t>
            </w:r>
            <w:r>
              <w:rPr>
                <w:rFonts w:hint="eastAsia" w:ascii="宋体" w:hAnsi="宋体" w:cs="宋体"/>
                <w:snapToGrid w:val="0"/>
                <w:color w:val="000000"/>
                <w:kern w:val="0"/>
                <w:sz w:val="24"/>
                <w:szCs w:val="24"/>
                <w:lang w:val="en-US" w:eastAsia="zh-CN"/>
              </w:rPr>
              <w:t>、</w:t>
            </w:r>
            <w:r>
              <w:rPr>
                <w:rFonts w:hint="eastAsia" w:ascii="宋体" w:hAnsi="宋体" w:eastAsia="宋体" w:cs="宋体"/>
                <w:snapToGrid w:val="0"/>
                <w:color w:val="000000"/>
                <w:kern w:val="0"/>
                <w:sz w:val="24"/>
                <w:szCs w:val="24"/>
                <w:lang w:val="en-US" w:eastAsia="zh-CN"/>
              </w:rPr>
              <w:t>主办律师，研判诉讼策略、预判案件胜诉概率、以及草拟、审核法律文书、与当事人积极沟通案件进展、参与庭审</w:t>
            </w:r>
          </w:p>
        </w:tc>
      </w:tr>
      <w:tr w14:paraId="5BB38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801" w:type="dxa"/>
            <w:noWrap w:val="0"/>
            <w:vAlign w:val="center"/>
          </w:tcPr>
          <w:p w14:paraId="74C2B9B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1253" w:type="dxa"/>
            <w:noWrap w:val="0"/>
            <w:vAlign w:val="center"/>
          </w:tcPr>
          <w:p w14:paraId="66EABBE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2290" w:type="dxa"/>
            <w:noWrap w:val="0"/>
            <w:vAlign w:val="center"/>
          </w:tcPr>
          <w:p w14:paraId="75031382">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专职</w:t>
            </w:r>
            <w:r>
              <w:rPr>
                <w:rFonts w:hint="eastAsia" w:ascii="宋体" w:hAnsi="宋体" w:eastAsia="宋体" w:cs="宋体"/>
                <w:snapToGrid w:val="0"/>
                <w:color w:val="000000"/>
                <w:kern w:val="0"/>
                <w:sz w:val="24"/>
                <w:szCs w:val="24"/>
                <w:lang w:val="en-US" w:eastAsia="zh-CN"/>
              </w:rPr>
              <w:t>律师</w:t>
            </w:r>
          </w:p>
        </w:tc>
        <w:tc>
          <w:tcPr>
            <w:tcW w:w="3962" w:type="dxa"/>
            <w:noWrap w:val="0"/>
            <w:vAlign w:val="center"/>
          </w:tcPr>
          <w:p w14:paraId="325BAC82">
            <w:pPr>
              <w:widowControl/>
              <w:kinsoku w:val="0"/>
              <w:autoSpaceDE w:val="0"/>
              <w:autoSpaceDN w:val="0"/>
              <w:adjustRightInd w:val="0"/>
              <w:snapToGrid w:val="0"/>
              <w:spacing w:line="240" w:lineRule="auto"/>
              <w:jc w:val="both"/>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协</w:t>
            </w:r>
            <w:r>
              <w:rPr>
                <w:rFonts w:hint="eastAsia" w:ascii="宋体" w:hAnsi="宋体" w:cs="宋体"/>
                <w:snapToGrid w:val="0"/>
                <w:color w:val="000000"/>
                <w:kern w:val="0"/>
                <w:sz w:val="24"/>
                <w:szCs w:val="24"/>
                <w:lang w:val="en-US" w:eastAsia="zh-CN"/>
              </w:rPr>
              <w:t>办</w:t>
            </w:r>
            <w:r>
              <w:rPr>
                <w:rFonts w:hint="eastAsia" w:ascii="宋体" w:hAnsi="宋体" w:eastAsia="宋体" w:cs="宋体"/>
                <w:snapToGrid w:val="0"/>
                <w:color w:val="000000"/>
                <w:kern w:val="0"/>
                <w:sz w:val="24"/>
                <w:szCs w:val="24"/>
                <w:lang w:val="en-US" w:eastAsia="zh-CN"/>
              </w:rPr>
              <w:t>律师，参与团队会议研讨，检索相关法律问题并制作调研报告、与法官沟通案件进展</w:t>
            </w:r>
          </w:p>
        </w:tc>
      </w:tr>
      <w:tr w14:paraId="2DEA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jc w:val="center"/>
        </w:trPr>
        <w:tc>
          <w:tcPr>
            <w:tcW w:w="801" w:type="dxa"/>
            <w:noWrap w:val="0"/>
            <w:vAlign w:val="center"/>
          </w:tcPr>
          <w:p w14:paraId="5B9CF455">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w:t>
            </w:r>
          </w:p>
        </w:tc>
        <w:tc>
          <w:tcPr>
            <w:tcW w:w="1253" w:type="dxa"/>
            <w:noWrap w:val="0"/>
            <w:vAlign w:val="center"/>
          </w:tcPr>
          <w:p w14:paraId="2230F4EF">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2290" w:type="dxa"/>
            <w:noWrap w:val="0"/>
            <w:vAlign w:val="center"/>
          </w:tcPr>
          <w:p w14:paraId="4920E154">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律师助理</w:t>
            </w:r>
          </w:p>
        </w:tc>
        <w:tc>
          <w:tcPr>
            <w:tcW w:w="3962" w:type="dxa"/>
            <w:noWrap w:val="0"/>
            <w:vAlign w:val="center"/>
          </w:tcPr>
          <w:p w14:paraId="51580886">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协办</w:t>
            </w:r>
            <w:r>
              <w:rPr>
                <w:rFonts w:hint="eastAsia" w:ascii="宋体" w:hAnsi="宋体" w:cs="宋体"/>
                <w:snapToGrid w:val="0"/>
                <w:color w:val="000000"/>
                <w:kern w:val="0"/>
                <w:sz w:val="24"/>
                <w:szCs w:val="24"/>
                <w:lang w:val="en-US" w:eastAsia="zh-CN"/>
              </w:rPr>
              <w:t>人员</w:t>
            </w:r>
            <w:r>
              <w:rPr>
                <w:rFonts w:hint="eastAsia" w:ascii="宋体" w:hAnsi="宋体" w:eastAsia="宋体" w:cs="宋体"/>
                <w:snapToGrid w:val="0"/>
                <w:color w:val="000000"/>
                <w:kern w:val="0"/>
                <w:sz w:val="24"/>
                <w:szCs w:val="24"/>
                <w:lang w:val="en-US" w:eastAsia="zh-CN"/>
              </w:rPr>
              <w:t>，参与团队会议研讨、</w:t>
            </w:r>
            <w:r>
              <w:rPr>
                <w:rFonts w:hint="eastAsia" w:ascii="宋体" w:hAnsi="宋体" w:cs="宋体"/>
                <w:snapToGrid w:val="0"/>
                <w:color w:val="000000"/>
                <w:kern w:val="0"/>
                <w:sz w:val="24"/>
                <w:szCs w:val="24"/>
                <w:lang w:val="en-US" w:eastAsia="zh-CN"/>
              </w:rPr>
              <w:t>收集并组织证据材料、</w:t>
            </w:r>
            <w:r>
              <w:rPr>
                <w:rFonts w:hint="eastAsia" w:ascii="宋体" w:hAnsi="宋体" w:eastAsia="宋体" w:cs="宋体"/>
                <w:snapToGrid w:val="0"/>
                <w:color w:val="000000"/>
                <w:kern w:val="0"/>
                <w:sz w:val="24"/>
                <w:szCs w:val="24"/>
                <w:lang w:val="en-US" w:eastAsia="zh-CN"/>
              </w:rPr>
              <w:t>制作案件分析报告、代为草拟相关法律文书、与法官沟通案件进展</w:t>
            </w:r>
          </w:p>
        </w:tc>
      </w:tr>
      <w:tr w14:paraId="66798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801" w:type="dxa"/>
            <w:noWrap w:val="0"/>
            <w:vAlign w:val="center"/>
          </w:tcPr>
          <w:p w14:paraId="242CE6E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5</w:t>
            </w:r>
          </w:p>
        </w:tc>
        <w:tc>
          <w:tcPr>
            <w:tcW w:w="1253" w:type="dxa"/>
            <w:noWrap w:val="0"/>
            <w:vAlign w:val="center"/>
          </w:tcPr>
          <w:p w14:paraId="64752313">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2290" w:type="dxa"/>
            <w:noWrap w:val="0"/>
            <w:vAlign w:val="center"/>
          </w:tcPr>
          <w:p w14:paraId="140EBBF6">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行政人员</w:t>
            </w:r>
          </w:p>
        </w:tc>
        <w:tc>
          <w:tcPr>
            <w:tcW w:w="3962" w:type="dxa"/>
            <w:noWrap w:val="0"/>
            <w:vAlign w:val="center"/>
          </w:tcPr>
          <w:p w14:paraId="106D7493">
            <w:pPr>
              <w:widowControl/>
              <w:kinsoku w:val="0"/>
              <w:autoSpaceDE w:val="0"/>
              <w:autoSpaceDN w:val="0"/>
              <w:adjustRightInd w:val="0"/>
              <w:snapToGrid w:val="0"/>
              <w:spacing w:line="240" w:lineRule="auto"/>
              <w:jc w:val="both"/>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协助人员，</w:t>
            </w:r>
            <w:r>
              <w:rPr>
                <w:rFonts w:hint="eastAsia" w:ascii="宋体" w:hAnsi="宋体" w:cs="宋体"/>
                <w:snapToGrid w:val="0"/>
                <w:color w:val="000000"/>
                <w:kern w:val="0"/>
                <w:sz w:val="24"/>
                <w:szCs w:val="24"/>
                <w:lang w:val="en-US" w:eastAsia="zh-CN"/>
              </w:rPr>
              <w:t>负责合同签订、发票开具等辅助性工作</w:t>
            </w:r>
          </w:p>
        </w:tc>
      </w:tr>
    </w:tbl>
    <w:p w14:paraId="1C7A3A08">
      <w:pPr>
        <w:spacing w:line="360" w:lineRule="auto"/>
        <w:jc w:val="left"/>
        <w:rPr>
          <w:rFonts w:hint="eastAsia" w:ascii="宋体" w:hAnsi="宋体" w:eastAsia="宋体" w:cs="宋体"/>
          <w:b/>
          <w:bCs/>
          <w:sz w:val="24"/>
          <w:szCs w:val="24"/>
          <w:u w:val="single"/>
        </w:rPr>
      </w:pPr>
    </w:p>
    <w:p w14:paraId="710115F4">
      <w:pPr>
        <w:keepNext w:val="0"/>
        <w:keepLines w:val="0"/>
        <w:pageBreakBefore w:val="0"/>
        <w:widowControl/>
        <w:kinsoku w:val="0"/>
        <w:wordWrap/>
        <w:overflowPunct/>
        <w:topLinePunct w:val="0"/>
        <w:autoSpaceDE w:val="0"/>
        <w:autoSpaceDN w:val="0"/>
        <w:bidi w:val="0"/>
        <w:adjustRightInd w:val="0"/>
        <w:snapToGrid w:val="0"/>
        <w:spacing w:before="144" w:beforeLines="50" w:after="144" w:afterLines="50"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本所</w:t>
      </w:r>
      <w:r>
        <w:rPr>
          <w:rFonts w:hint="eastAsia" w:ascii="宋体" w:hAnsi="宋体" w:cs="宋体"/>
          <w:snapToGrid w:val="0"/>
          <w:color w:val="000000"/>
          <w:kern w:val="0"/>
          <w:sz w:val="24"/>
          <w:szCs w:val="24"/>
          <w:lang w:val="en-US" w:eastAsia="zh-CN"/>
        </w:rPr>
        <w:t>根据</w:t>
      </w:r>
      <w:r>
        <w:rPr>
          <w:rFonts w:hint="eastAsia" w:ascii="宋体" w:hAnsi="宋体" w:eastAsia="宋体" w:cs="宋体"/>
          <w:snapToGrid w:val="0"/>
          <w:color w:val="000000"/>
          <w:kern w:val="0"/>
          <w:sz w:val="24"/>
          <w:szCs w:val="24"/>
          <w:lang w:val="en-US" w:eastAsia="zh-CN"/>
        </w:rPr>
        <w:t>案件实际情况，</w:t>
      </w:r>
      <w:r>
        <w:rPr>
          <w:rFonts w:hint="eastAsia" w:ascii="宋体" w:hAnsi="宋体" w:cs="宋体"/>
          <w:snapToGrid w:val="0"/>
          <w:color w:val="000000"/>
          <w:kern w:val="0"/>
          <w:sz w:val="24"/>
          <w:szCs w:val="24"/>
          <w:lang w:val="en-US" w:eastAsia="zh-CN"/>
        </w:rPr>
        <w:t xml:space="preserve">参照《四川省律师法律服务收费行业指导标准（试行）》（川律协〔2016〕39号）“计时收费适用于所有法律事务，收费标准为500元-3,000元/小时。对于复杂法律服务项目，可以在前述标准基础上再上浮不超过2倍收费”之规定，结合律所的人员成本、管理成本、运营成本、办公成本等，综合确定本案上述团队工作费用标准为 </w:t>
      </w:r>
      <w:r>
        <w:rPr>
          <w:rFonts w:hint="eastAsia" w:ascii="宋体" w:hAnsi="宋体" w:cs="宋体"/>
          <w:snapToGrid w:val="0"/>
          <w:color w:val="000000"/>
          <w:kern w:val="0"/>
          <w:sz w:val="24"/>
          <w:szCs w:val="24"/>
          <w:u w:val="single"/>
          <w:lang w:val="en-US" w:eastAsia="zh-CN"/>
        </w:rPr>
        <w:t xml:space="preserve">     </w:t>
      </w:r>
      <w:r>
        <w:rPr>
          <w:rFonts w:hint="eastAsia" w:ascii="宋体" w:hAnsi="宋体" w:cs="宋体"/>
          <w:snapToGrid w:val="0"/>
          <w:color w:val="000000"/>
          <w:kern w:val="0"/>
          <w:sz w:val="24"/>
          <w:szCs w:val="24"/>
          <w:highlight w:val="none"/>
          <w:u w:val="single"/>
          <w:lang w:val="en-US" w:eastAsia="zh-CN"/>
        </w:rPr>
        <w:t>元/人/小时</w:t>
      </w:r>
      <w:r>
        <w:rPr>
          <w:rFonts w:hint="eastAsia" w:ascii="宋体" w:hAnsi="宋体" w:cs="宋体"/>
          <w:snapToGrid w:val="0"/>
          <w:color w:val="000000"/>
          <w:kern w:val="0"/>
          <w:sz w:val="24"/>
          <w:szCs w:val="24"/>
          <w:lang w:val="en-US" w:eastAsia="zh-CN"/>
        </w:rPr>
        <w:t>，则案件代理费用如下</w:t>
      </w:r>
      <w:r>
        <w:rPr>
          <w:rFonts w:hint="eastAsia" w:ascii="宋体" w:hAnsi="宋体" w:eastAsia="宋体" w:cs="宋体"/>
          <w:snapToGrid w:val="0"/>
          <w:color w:val="000000"/>
          <w:kern w:val="0"/>
          <w:sz w:val="24"/>
          <w:szCs w:val="24"/>
          <w:lang w:val="en-US" w:eastAsia="zh-CN"/>
        </w:rPr>
        <w:t>：</w:t>
      </w:r>
    </w:p>
    <w:p w14:paraId="44AAA106">
      <w:pPr>
        <w:pStyle w:val="3"/>
        <w:keepNext w:val="0"/>
        <w:keepLines w:val="0"/>
        <w:pageBreakBefore w:val="0"/>
        <w:widowControl w:val="0"/>
        <w:numPr>
          <w:ilvl w:val="0"/>
          <w:numId w:val="0"/>
        </w:numPr>
        <w:kinsoku/>
        <w:wordWrap/>
        <w:overflowPunct/>
        <w:topLinePunct w:val="0"/>
        <w:autoSpaceDE/>
        <w:autoSpaceDN/>
        <w:bidi w:val="0"/>
        <w:adjustRightInd w:val="0"/>
        <w:snapToGrid/>
        <w:spacing w:before="144" w:beforeLines="50" w:after="144" w:afterLines="50" w:line="360" w:lineRule="auto"/>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b/>
          <w:bCs/>
          <w:snapToGrid w:val="0"/>
          <w:color w:val="000000"/>
          <w:kern w:val="0"/>
          <w:sz w:val="24"/>
          <w:szCs w:val="24"/>
          <w:lang w:val="en-US" w:eastAsia="zh-CN"/>
        </w:rPr>
        <w:t>例：1、</w:t>
      </w:r>
      <w:r>
        <w:rPr>
          <w:rFonts w:hint="eastAsia" w:ascii="宋体" w:hAnsi="宋体" w:eastAsia="宋体" w:cs="宋体"/>
          <w:b/>
          <w:bCs/>
          <w:snapToGrid w:val="0"/>
          <w:color w:val="000000"/>
          <w:kern w:val="0"/>
          <w:sz w:val="24"/>
          <w:szCs w:val="24"/>
          <w:lang w:val="en-US" w:eastAsia="zh-CN"/>
        </w:rPr>
        <w:t>案号：（202</w:t>
      </w:r>
      <w:r>
        <w:rPr>
          <w:rFonts w:hint="eastAsia" w:ascii="宋体" w:hAnsi="宋体" w:cs="宋体"/>
          <w:b/>
          <w:bCs/>
          <w:snapToGrid w:val="0"/>
          <w:color w:val="000000"/>
          <w:kern w:val="0"/>
          <w:sz w:val="24"/>
          <w:szCs w:val="24"/>
          <w:lang w:val="en-US" w:eastAsia="zh-CN"/>
        </w:rPr>
        <w:t>X</w:t>
      </w:r>
      <w:r>
        <w:rPr>
          <w:rFonts w:hint="eastAsia" w:ascii="宋体" w:hAnsi="宋体" w:eastAsia="宋体" w:cs="宋体"/>
          <w:b/>
          <w:bCs/>
          <w:snapToGrid w:val="0"/>
          <w:color w:val="000000"/>
          <w:kern w:val="0"/>
          <w:sz w:val="24"/>
          <w:szCs w:val="24"/>
          <w:lang w:val="en-US" w:eastAsia="zh-CN"/>
        </w:rPr>
        <w:t>）川民初</w:t>
      </w:r>
      <w:r>
        <w:rPr>
          <w:rFonts w:hint="eastAsia" w:ascii="宋体" w:hAnsi="宋体" w:cs="宋体"/>
          <w:b/>
          <w:bCs/>
          <w:snapToGrid w:val="0"/>
          <w:color w:val="000000"/>
          <w:kern w:val="0"/>
          <w:sz w:val="24"/>
          <w:szCs w:val="24"/>
          <w:lang w:val="en-US" w:eastAsia="zh-CN"/>
        </w:rPr>
        <w:t>XXX</w:t>
      </w:r>
      <w:r>
        <w:rPr>
          <w:rFonts w:hint="eastAsia" w:ascii="宋体" w:hAnsi="宋体" w:eastAsia="宋体" w:cs="宋体"/>
          <w:b/>
          <w:bCs/>
          <w:snapToGrid w:val="0"/>
          <w:color w:val="000000"/>
          <w:kern w:val="0"/>
          <w:sz w:val="24"/>
          <w:szCs w:val="24"/>
          <w:lang w:val="en-US" w:eastAsia="zh-CN"/>
        </w:rPr>
        <w:t>号</w:t>
      </w:r>
      <w:r>
        <w:rPr>
          <w:rFonts w:hint="eastAsia" w:ascii="宋体" w:hAnsi="宋体" w:eastAsia="宋体" w:cs="宋体"/>
          <w:snapToGrid w:val="0"/>
          <w:color w:val="000000"/>
          <w:kern w:val="0"/>
          <w:sz w:val="24"/>
          <w:szCs w:val="24"/>
          <w:lang w:val="en-US" w:eastAsia="zh-CN"/>
        </w:rPr>
        <w:t>【本所主要负责代理二审】</w:t>
      </w:r>
    </w:p>
    <w:p w14:paraId="27D723AA">
      <w:pPr>
        <w:ind w:firstLine="482" w:firstLineChars="200"/>
        <w:rPr>
          <w:rFonts w:hint="eastAsia" w:ascii="宋体" w:hAnsi="宋体" w:cs="宋体"/>
          <w:b/>
          <w:bCs/>
          <w:snapToGrid w:val="0"/>
          <w:color w:val="000000"/>
          <w:kern w:val="0"/>
          <w:sz w:val="24"/>
          <w:szCs w:val="24"/>
          <w:lang w:val="en-US" w:eastAsia="zh-CN"/>
        </w:rPr>
      </w:pPr>
      <w:r>
        <w:rPr>
          <w:rFonts w:hint="eastAsia" w:ascii="宋体" w:hAnsi="宋体" w:cs="宋体"/>
          <w:b/>
          <w:bCs/>
          <w:snapToGrid w:val="0"/>
          <w:color w:val="000000"/>
          <w:kern w:val="0"/>
          <w:sz w:val="24"/>
          <w:szCs w:val="24"/>
          <w:lang w:val="en-US" w:eastAsia="zh-CN"/>
        </w:rPr>
        <w:t>本案</w:t>
      </w:r>
      <w:r>
        <w:rPr>
          <w:rFonts w:hint="eastAsia" w:ascii="宋体" w:hAnsi="宋体" w:cs="宋体"/>
          <w:b/>
          <w:bCs/>
          <w:sz w:val="24"/>
          <w:szCs w:val="24"/>
          <w:u w:val="none"/>
          <w:lang w:val="en-US" w:eastAsia="zh-CN"/>
        </w:rPr>
        <w:t>基础代理费XX万元，</w:t>
      </w:r>
      <w:r>
        <w:rPr>
          <w:rFonts w:hint="eastAsia" w:ascii="宋体" w:hAnsi="宋体" w:cs="华文宋体"/>
          <w:b/>
          <w:bCs/>
          <w:kern w:val="32"/>
          <w:sz w:val="24"/>
          <w:szCs w:val="24"/>
          <w:lang w:val="en-US" w:eastAsia="zh-CN" w:bidi="en-US"/>
        </w:rPr>
        <w:t>风险代理费XX万元。</w:t>
      </w:r>
    </w:p>
    <w:p w14:paraId="6F2E2D90">
      <w:pPr>
        <w:pStyle w:val="3"/>
        <w:rPr>
          <w:rFonts w:hint="default"/>
          <w:lang w:val="en-US" w:eastAsia="zh-CN"/>
        </w:rPr>
      </w:pPr>
    </w:p>
    <w:tbl>
      <w:tblPr>
        <w:tblStyle w:val="9"/>
        <w:tblW w:w="8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3373"/>
        <w:gridCol w:w="1562"/>
        <w:gridCol w:w="1506"/>
        <w:gridCol w:w="1605"/>
      </w:tblGrid>
      <w:tr w14:paraId="33C65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jc w:val="center"/>
        </w:trPr>
        <w:tc>
          <w:tcPr>
            <w:tcW w:w="686" w:type="dxa"/>
            <w:noWrap w:val="0"/>
            <w:vAlign w:val="center"/>
          </w:tcPr>
          <w:p w14:paraId="562A1E0C">
            <w:pPr>
              <w:widowControl/>
              <w:kinsoku w:val="0"/>
              <w:autoSpaceDE/>
              <w:autoSpaceDN/>
              <w:adjustRightInd w:val="0"/>
              <w:snapToGrid w:val="0"/>
              <w:spacing w:before="264" w:line="300" w:lineRule="exact"/>
              <w:jc w:val="center"/>
              <w:textAlignment w:val="baseline"/>
              <w:rPr>
                <w:rFonts w:hint="eastAsia" w:ascii="宋体" w:hAnsi="宋体" w:eastAsia="宋体" w:cs="宋体"/>
                <w:b/>
                <w:bCs/>
                <w:snapToGrid w:val="0"/>
                <w:color w:val="000000"/>
                <w:spacing w:val="15"/>
                <w:kern w:val="0"/>
                <w:sz w:val="24"/>
                <w:szCs w:val="24"/>
                <w:lang w:val="en-US" w:eastAsia="zh-CN"/>
              </w:rPr>
            </w:pPr>
            <w:r>
              <w:rPr>
                <w:rFonts w:hint="eastAsia" w:ascii="宋体" w:hAnsi="宋体" w:eastAsia="宋体" w:cs="宋体"/>
                <w:b/>
                <w:bCs/>
                <w:snapToGrid w:val="0"/>
                <w:color w:val="000000"/>
                <w:spacing w:val="15"/>
                <w:kern w:val="0"/>
                <w:sz w:val="24"/>
                <w:szCs w:val="24"/>
                <w:lang w:val="en-US" w:eastAsia="zh-CN"/>
              </w:rPr>
              <w:t>序号</w:t>
            </w:r>
          </w:p>
        </w:tc>
        <w:tc>
          <w:tcPr>
            <w:tcW w:w="3373" w:type="dxa"/>
            <w:noWrap w:val="0"/>
            <w:vAlign w:val="center"/>
          </w:tcPr>
          <w:p w14:paraId="524FD269">
            <w:pPr>
              <w:widowControl/>
              <w:kinsoku w:val="0"/>
              <w:autoSpaceDE/>
              <w:autoSpaceDN/>
              <w:adjustRightInd w:val="0"/>
              <w:snapToGrid w:val="0"/>
              <w:spacing w:before="264" w:line="300" w:lineRule="exact"/>
              <w:jc w:val="center"/>
              <w:textAlignment w:val="baseline"/>
              <w:rPr>
                <w:rFonts w:hint="default"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spacing w:val="15"/>
                <w:kern w:val="0"/>
                <w:sz w:val="24"/>
                <w:szCs w:val="24"/>
                <w:lang w:val="en-US" w:eastAsia="zh-CN"/>
              </w:rPr>
              <w:t>工作内容</w:t>
            </w:r>
          </w:p>
        </w:tc>
        <w:tc>
          <w:tcPr>
            <w:tcW w:w="1562" w:type="dxa"/>
            <w:noWrap w:val="0"/>
            <w:vAlign w:val="center"/>
          </w:tcPr>
          <w:p w14:paraId="1E337105">
            <w:pPr>
              <w:widowControl/>
              <w:kinsoku w:val="0"/>
              <w:autoSpaceDE/>
              <w:autoSpaceDN/>
              <w:adjustRightInd w:val="0"/>
              <w:snapToGrid w:val="0"/>
              <w:spacing w:before="263" w:line="300" w:lineRule="exact"/>
              <w:jc w:val="center"/>
              <w:textAlignment w:val="baseline"/>
              <w:rPr>
                <w:rFonts w:hint="default"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投入人员</w:t>
            </w:r>
          </w:p>
        </w:tc>
        <w:tc>
          <w:tcPr>
            <w:tcW w:w="1506" w:type="dxa"/>
            <w:noWrap w:val="0"/>
            <w:vAlign w:val="center"/>
          </w:tcPr>
          <w:p w14:paraId="5183E5FA">
            <w:pPr>
              <w:keepNext w:val="0"/>
              <w:keepLines w:val="0"/>
              <w:pageBreakBefore w:val="0"/>
              <w:widowControl/>
              <w:kinsoku w:val="0"/>
              <w:wordWrap/>
              <w:overflowPunct/>
              <w:topLinePunct w:val="0"/>
              <w:autoSpaceDE/>
              <w:autoSpaceDN/>
              <w:bidi w:val="0"/>
              <w:adjustRightInd w:val="0"/>
              <w:snapToGrid w:val="0"/>
              <w:spacing w:before="263" w:line="300" w:lineRule="exact"/>
              <w:jc w:val="center"/>
              <w:textAlignment w:val="baseline"/>
              <w:rPr>
                <w:rFonts w:hint="default" w:ascii="宋体" w:hAnsi="宋体" w:eastAsia="宋体" w:cs="宋体"/>
                <w:b/>
                <w:bCs/>
                <w:snapToGrid w:val="0"/>
                <w:color w:val="000000"/>
                <w:kern w:val="0"/>
                <w:sz w:val="24"/>
                <w:szCs w:val="24"/>
                <w:lang w:val="en-US" w:eastAsia="zh-CN"/>
              </w:rPr>
            </w:pPr>
            <w:r>
              <w:rPr>
                <w:rFonts w:hint="eastAsia" w:ascii="宋体" w:hAnsi="宋体" w:cs="宋体"/>
                <w:b/>
                <w:bCs/>
                <w:snapToGrid w:val="0"/>
                <w:color w:val="000000"/>
                <w:spacing w:val="15"/>
                <w:kern w:val="0"/>
                <w:sz w:val="24"/>
                <w:szCs w:val="24"/>
                <w:lang w:val="en-US" w:eastAsia="zh-CN"/>
              </w:rPr>
              <w:t>预计每人时长（小时）</w:t>
            </w:r>
          </w:p>
        </w:tc>
        <w:tc>
          <w:tcPr>
            <w:tcW w:w="1605" w:type="dxa"/>
            <w:noWrap w:val="0"/>
            <w:vAlign w:val="center"/>
          </w:tcPr>
          <w:p w14:paraId="2B8BE762">
            <w:pPr>
              <w:keepNext w:val="0"/>
              <w:keepLines w:val="0"/>
              <w:pageBreakBefore w:val="0"/>
              <w:widowControl/>
              <w:kinsoku w:val="0"/>
              <w:wordWrap/>
              <w:overflowPunct/>
              <w:topLinePunct w:val="0"/>
              <w:autoSpaceDE/>
              <w:autoSpaceDN/>
              <w:bidi w:val="0"/>
              <w:adjustRightInd w:val="0"/>
              <w:snapToGrid w:val="0"/>
              <w:spacing w:before="264" w:line="300" w:lineRule="exact"/>
              <w:jc w:val="center"/>
              <w:textAlignment w:val="baseline"/>
              <w:rPr>
                <w:rFonts w:hint="eastAsia" w:ascii="宋体" w:hAnsi="宋体" w:eastAsia="宋体" w:cs="宋体"/>
                <w:b/>
                <w:bCs/>
                <w:snapToGrid w:val="0"/>
                <w:color w:val="000000"/>
                <w:spacing w:val="15"/>
                <w:kern w:val="0"/>
                <w:sz w:val="24"/>
                <w:szCs w:val="24"/>
                <w:lang w:val="en-US" w:eastAsia="zh-CN"/>
              </w:rPr>
            </w:pPr>
            <w:r>
              <w:rPr>
                <w:rFonts w:hint="eastAsia" w:ascii="宋体" w:hAnsi="宋体" w:eastAsia="宋体" w:cs="宋体"/>
                <w:b/>
                <w:bCs/>
                <w:snapToGrid w:val="0"/>
                <w:color w:val="000000"/>
                <w:spacing w:val="15"/>
                <w:kern w:val="0"/>
                <w:sz w:val="24"/>
                <w:szCs w:val="24"/>
                <w:lang w:val="en-US" w:eastAsia="zh-CN"/>
              </w:rPr>
              <w:t>服务费用</w:t>
            </w:r>
          </w:p>
          <w:p w14:paraId="7E9995A0">
            <w:pPr>
              <w:keepNext w:val="0"/>
              <w:keepLines w:val="0"/>
              <w:pageBreakBefore w:val="0"/>
              <w:widowControl/>
              <w:kinsoku w:val="0"/>
              <w:wordWrap/>
              <w:overflowPunct/>
              <w:topLinePunct w:val="0"/>
              <w:autoSpaceDE/>
              <w:autoSpaceDN/>
              <w:bidi w:val="0"/>
              <w:adjustRightInd w:val="0"/>
              <w:snapToGrid w:val="0"/>
              <w:spacing w:before="264" w:line="300" w:lineRule="exact"/>
              <w:jc w:val="center"/>
              <w:textAlignment w:val="baseline"/>
              <w:rPr>
                <w:rFonts w:hint="default"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spacing w:val="15"/>
                <w:kern w:val="0"/>
                <w:sz w:val="24"/>
                <w:szCs w:val="24"/>
                <w:lang w:val="en-US" w:eastAsia="zh-CN"/>
              </w:rPr>
              <w:t>（元）</w:t>
            </w:r>
          </w:p>
        </w:tc>
      </w:tr>
      <w:tr w14:paraId="451C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686" w:type="dxa"/>
            <w:noWrap w:val="0"/>
            <w:vAlign w:val="center"/>
          </w:tcPr>
          <w:p w14:paraId="26262C0D">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c>
          <w:tcPr>
            <w:tcW w:w="3373" w:type="dxa"/>
            <w:noWrap w:val="0"/>
            <w:vAlign w:val="center"/>
          </w:tcPr>
          <w:p w14:paraId="5DFD853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确定诉讼策略、预判案件胜诉概率</w:t>
            </w:r>
          </w:p>
        </w:tc>
        <w:tc>
          <w:tcPr>
            <w:tcW w:w="1562" w:type="dxa"/>
            <w:noWrap w:val="0"/>
            <w:vAlign w:val="center"/>
          </w:tcPr>
          <w:p w14:paraId="4263C273">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5人</w:t>
            </w:r>
          </w:p>
        </w:tc>
        <w:tc>
          <w:tcPr>
            <w:tcW w:w="1506" w:type="dxa"/>
            <w:noWrap w:val="0"/>
            <w:vAlign w:val="center"/>
          </w:tcPr>
          <w:p w14:paraId="1C92A54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10</w:t>
            </w:r>
          </w:p>
        </w:tc>
        <w:tc>
          <w:tcPr>
            <w:tcW w:w="1605" w:type="dxa"/>
            <w:noWrap w:val="0"/>
            <w:vAlign w:val="center"/>
          </w:tcPr>
          <w:p w14:paraId="76EC1167">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4FBC8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jc w:val="center"/>
        </w:trPr>
        <w:tc>
          <w:tcPr>
            <w:tcW w:w="686" w:type="dxa"/>
            <w:noWrap w:val="0"/>
            <w:vAlign w:val="center"/>
          </w:tcPr>
          <w:p w14:paraId="1382C35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w:t>
            </w:r>
          </w:p>
        </w:tc>
        <w:tc>
          <w:tcPr>
            <w:tcW w:w="3373" w:type="dxa"/>
            <w:noWrap w:val="0"/>
            <w:vAlign w:val="center"/>
          </w:tcPr>
          <w:p w14:paraId="6A4A4B67">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检索类似案例并制作案件检索报告</w:t>
            </w:r>
          </w:p>
        </w:tc>
        <w:tc>
          <w:tcPr>
            <w:tcW w:w="1562" w:type="dxa"/>
            <w:noWrap w:val="0"/>
            <w:vAlign w:val="center"/>
          </w:tcPr>
          <w:p w14:paraId="18B740F3">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2人</w:t>
            </w:r>
          </w:p>
        </w:tc>
        <w:tc>
          <w:tcPr>
            <w:tcW w:w="1506" w:type="dxa"/>
            <w:noWrap w:val="0"/>
            <w:vAlign w:val="center"/>
          </w:tcPr>
          <w:p w14:paraId="63F14BE2">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33</w:t>
            </w:r>
          </w:p>
        </w:tc>
        <w:tc>
          <w:tcPr>
            <w:tcW w:w="1605" w:type="dxa"/>
            <w:noWrap w:val="0"/>
            <w:vAlign w:val="center"/>
          </w:tcPr>
          <w:p w14:paraId="719FD247">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2033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jc w:val="center"/>
        </w:trPr>
        <w:tc>
          <w:tcPr>
            <w:tcW w:w="686" w:type="dxa"/>
            <w:noWrap w:val="0"/>
            <w:vAlign w:val="center"/>
          </w:tcPr>
          <w:p w14:paraId="608DF345">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3373" w:type="dxa"/>
            <w:noWrap w:val="0"/>
            <w:vAlign w:val="center"/>
          </w:tcPr>
          <w:p w14:paraId="7D624E10">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结合证据及一审判决书，分析一审原被告双方抗辩要点、法院裁判逻辑、败诉原因、新的代理思路，制作案件分析报告</w:t>
            </w:r>
          </w:p>
        </w:tc>
        <w:tc>
          <w:tcPr>
            <w:tcW w:w="1562" w:type="dxa"/>
            <w:noWrap w:val="0"/>
            <w:vAlign w:val="center"/>
          </w:tcPr>
          <w:p w14:paraId="5B17D2D7">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3人</w:t>
            </w:r>
          </w:p>
        </w:tc>
        <w:tc>
          <w:tcPr>
            <w:tcW w:w="1506" w:type="dxa"/>
            <w:noWrap w:val="0"/>
            <w:vAlign w:val="center"/>
          </w:tcPr>
          <w:p w14:paraId="1B545D60">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35</w:t>
            </w:r>
          </w:p>
        </w:tc>
        <w:tc>
          <w:tcPr>
            <w:tcW w:w="1605" w:type="dxa"/>
            <w:noWrap w:val="0"/>
            <w:vAlign w:val="center"/>
          </w:tcPr>
          <w:p w14:paraId="36351331">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67194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jc w:val="center"/>
        </w:trPr>
        <w:tc>
          <w:tcPr>
            <w:tcW w:w="686" w:type="dxa"/>
            <w:noWrap w:val="0"/>
            <w:vAlign w:val="center"/>
          </w:tcPr>
          <w:p w14:paraId="7E768C5D">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w:t>
            </w:r>
          </w:p>
        </w:tc>
        <w:tc>
          <w:tcPr>
            <w:tcW w:w="3373" w:type="dxa"/>
            <w:noWrap w:val="0"/>
            <w:vAlign w:val="center"/>
          </w:tcPr>
          <w:p w14:paraId="1BAB8C0A">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撰写上诉状、庭审提纲、质证意见、代理词等</w:t>
            </w:r>
            <w:r>
              <w:rPr>
                <w:rFonts w:hint="eastAsia" w:ascii="宋体" w:hAnsi="宋体" w:cs="宋体"/>
                <w:snapToGrid w:val="0"/>
                <w:color w:val="000000"/>
                <w:kern w:val="0"/>
                <w:sz w:val="24"/>
                <w:szCs w:val="24"/>
                <w:lang w:val="en-US" w:eastAsia="zh-CN"/>
              </w:rPr>
              <w:t>重要</w:t>
            </w:r>
            <w:r>
              <w:rPr>
                <w:rFonts w:hint="eastAsia" w:ascii="宋体" w:hAnsi="宋体" w:eastAsia="宋体" w:cs="宋体"/>
                <w:snapToGrid w:val="0"/>
                <w:color w:val="000000"/>
                <w:kern w:val="0"/>
                <w:sz w:val="24"/>
                <w:szCs w:val="24"/>
                <w:lang w:val="en-US" w:eastAsia="zh-CN"/>
              </w:rPr>
              <w:t>法律文书</w:t>
            </w:r>
          </w:p>
        </w:tc>
        <w:tc>
          <w:tcPr>
            <w:tcW w:w="1562" w:type="dxa"/>
            <w:noWrap w:val="0"/>
            <w:vAlign w:val="center"/>
          </w:tcPr>
          <w:p w14:paraId="42F3CB0C">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4人</w:t>
            </w:r>
          </w:p>
        </w:tc>
        <w:tc>
          <w:tcPr>
            <w:tcW w:w="1506" w:type="dxa"/>
            <w:noWrap w:val="0"/>
            <w:vAlign w:val="center"/>
          </w:tcPr>
          <w:p w14:paraId="4C046B42">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30</w:t>
            </w:r>
          </w:p>
        </w:tc>
        <w:tc>
          <w:tcPr>
            <w:tcW w:w="1605" w:type="dxa"/>
            <w:noWrap w:val="0"/>
            <w:vAlign w:val="center"/>
          </w:tcPr>
          <w:p w14:paraId="7551D5C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19680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jc w:val="center"/>
        </w:trPr>
        <w:tc>
          <w:tcPr>
            <w:tcW w:w="686" w:type="dxa"/>
            <w:noWrap w:val="0"/>
            <w:vAlign w:val="center"/>
          </w:tcPr>
          <w:p w14:paraId="153A9579">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5</w:t>
            </w:r>
          </w:p>
        </w:tc>
        <w:tc>
          <w:tcPr>
            <w:tcW w:w="3373" w:type="dxa"/>
            <w:noWrap w:val="0"/>
            <w:vAlign w:val="center"/>
          </w:tcPr>
          <w:p w14:paraId="6EDB699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收集、梳理、组织证据材料，</w:t>
            </w:r>
          </w:p>
          <w:p w14:paraId="5AF58E78">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并制作证据目录</w:t>
            </w:r>
          </w:p>
        </w:tc>
        <w:tc>
          <w:tcPr>
            <w:tcW w:w="1562" w:type="dxa"/>
            <w:noWrap w:val="0"/>
            <w:vAlign w:val="center"/>
          </w:tcPr>
          <w:p w14:paraId="77D757B1">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3人</w:t>
            </w:r>
          </w:p>
        </w:tc>
        <w:tc>
          <w:tcPr>
            <w:tcW w:w="1506" w:type="dxa"/>
            <w:noWrap w:val="0"/>
            <w:vAlign w:val="center"/>
          </w:tcPr>
          <w:p w14:paraId="218384EF">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24</w:t>
            </w:r>
          </w:p>
        </w:tc>
        <w:tc>
          <w:tcPr>
            <w:tcW w:w="1605" w:type="dxa"/>
            <w:noWrap w:val="0"/>
            <w:vAlign w:val="center"/>
          </w:tcPr>
          <w:p w14:paraId="60BD0F39">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4D43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686" w:type="dxa"/>
            <w:noWrap w:val="0"/>
            <w:vAlign w:val="center"/>
          </w:tcPr>
          <w:p w14:paraId="065FAF11">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6</w:t>
            </w:r>
          </w:p>
        </w:tc>
        <w:tc>
          <w:tcPr>
            <w:tcW w:w="3373" w:type="dxa"/>
            <w:noWrap w:val="0"/>
            <w:vAlign w:val="center"/>
          </w:tcPr>
          <w:p w14:paraId="2795D400">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参与庭审，庭前、庭后积极</w:t>
            </w:r>
          </w:p>
          <w:p w14:paraId="71D24496">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与承办法官沟通案件情况</w:t>
            </w:r>
          </w:p>
        </w:tc>
        <w:tc>
          <w:tcPr>
            <w:tcW w:w="1562" w:type="dxa"/>
            <w:noWrap w:val="0"/>
            <w:vAlign w:val="center"/>
          </w:tcPr>
          <w:p w14:paraId="61FA9C45">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2人</w:t>
            </w:r>
          </w:p>
        </w:tc>
        <w:tc>
          <w:tcPr>
            <w:tcW w:w="1506" w:type="dxa"/>
            <w:noWrap w:val="0"/>
            <w:vAlign w:val="center"/>
          </w:tcPr>
          <w:p w14:paraId="608992E2">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24</w:t>
            </w:r>
          </w:p>
        </w:tc>
        <w:tc>
          <w:tcPr>
            <w:tcW w:w="1605" w:type="dxa"/>
            <w:noWrap w:val="0"/>
            <w:vAlign w:val="center"/>
          </w:tcPr>
          <w:p w14:paraId="0176DF51">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3FD10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686" w:type="dxa"/>
            <w:noWrap w:val="0"/>
            <w:vAlign w:val="center"/>
          </w:tcPr>
          <w:p w14:paraId="74D98EB9">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7</w:t>
            </w:r>
          </w:p>
        </w:tc>
        <w:tc>
          <w:tcPr>
            <w:tcW w:w="3373" w:type="dxa"/>
            <w:noWrap w:val="0"/>
            <w:vAlign w:val="center"/>
          </w:tcPr>
          <w:p w14:paraId="75AFFE9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随时</w:t>
            </w:r>
            <w:r>
              <w:rPr>
                <w:rFonts w:hint="eastAsia" w:ascii="宋体" w:hAnsi="宋体" w:eastAsia="宋体" w:cs="宋体"/>
                <w:snapToGrid w:val="0"/>
                <w:color w:val="000000"/>
                <w:kern w:val="0"/>
                <w:sz w:val="24"/>
                <w:szCs w:val="24"/>
                <w:lang w:val="en-US" w:eastAsia="zh-CN"/>
              </w:rPr>
              <w:t>向贵公司及相关人员汇报</w:t>
            </w:r>
          </w:p>
          <w:p w14:paraId="5C9A8ABA">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案件进展</w:t>
            </w:r>
          </w:p>
        </w:tc>
        <w:tc>
          <w:tcPr>
            <w:tcW w:w="1562" w:type="dxa"/>
            <w:noWrap w:val="0"/>
            <w:vAlign w:val="center"/>
          </w:tcPr>
          <w:p w14:paraId="19531931">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2人</w:t>
            </w:r>
          </w:p>
        </w:tc>
        <w:tc>
          <w:tcPr>
            <w:tcW w:w="1506" w:type="dxa"/>
            <w:noWrap w:val="0"/>
            <w:vAlign w:val="center"/>
          </w:tcPr>
          <w:p w14:paraId="5D776898">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18</w:t>
            </w:r>
          </w:p>
        </w:tc>
        <w:tc>
          <w:tcPr>
            <w:tcW w:w="1605" w:type="dxa"/>
            <w:noWrap w:val="0"/>
            <w:vAlign w:val="center"/>
          </w:tcPr>
          <w:p w14:paraId="63546D98">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1011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686" w:type="dxa"/>
            <w:noWrap w:val="0"/>
            <w:vAlign w:val="center"/>
          </w:tcPr>
          <w:p w14:paraId="6AB99FF8">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8</w:t>
            </w:r>
          </w:p>
        </w:tc>
        <w:tc>
          <w:tcPr>
            <w:tcW w:w="3373" w:type="dxa"/>
            <w:noWrap w:val="0"/>
            <w:vAlign w:val="center"/>
          </w:tcPr>
          <w:p w14:paraId="69A66A3E">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随时</w:t>
            </w:r>
            <w:r>
              <w:rPr>
                <w:rFonts w:hint="eastAsia" w:ascii="宋体" w:hAnsi="宋体" w:eastAsia="宋体" w:cs="宋体"/>
                <w:snapToGrid w:val="0"/>
                <w:color w:val="000000"/>
                <w:kern w:val="0"/>
                <w:sz w:val="24"/>
                <w:szCs w:val="24"/>
                <w:lang w:val="en-US" w:eastAsia="zh-CN"/>
              </w:rPr>
              <w:t>召开会议</w:t>
            </w:r>
            <w:r>
              <w:rPr>
                <w:rFonts w:hint="eastAsia" w:ascii="宋体" w:hAnsi="宋体" w:cs="宋体"/>
                <w:snapToGrid w:val="0"/>
                <w:color w:val="000000"/>
                <w:kern w:val="0"/>
                <w:sz w:val="24"/>
                <w:szCs w:val="24"/>
                <w:lang w:val="en-US" w:eastAsia="zh-CN"/>
              </w:rPr>
              <w:t>，</w:t>
            </w:r>
            <w:r>
              <w:rPr>
                <w:rFonts w:hint="eastAsia" w:ascii="宋体" w:hAnsi="宋体" w:eastAsia="宋体" w:cs="宋体"/>
                <w:snapToGrid w:val="0"/>
                <w:color w:val="000000"/>
                <w:kern w:val="0"/>
                <w:sz w:val="24"/>
                <w:szCs w:val="24"/>
                <w:lang w:val="en-US" w:eastAsia="zh-CN"/>
              </w:rPr>
              <w:t>组织全员讨论</w:t>
            </w:r>
            <w:r>
              <w:rPr>
                <w:rFonts w:hint="eastAsia" w:ascii="宋体" w:hAnsi="宋体" w:cs="宋体"/>
                <w:snapToGrid w:val="0"/>
                <w:color w:val="000000"/>
                <w:kern w:val="0"/>
                <w:sz w:val="24"/>
                <w:szCs w:val="24"/>
                <w:lang w:val="en-US" w:eastAsia="zh-CN"/>
              </w:rPr>
              <w:t>案件进展，成员进行阶段汇报</w:t>
            </w:r>
          </w:p>
        </w:tc>
        <w:tc>
          <w:tcPr>
            <w:tcW w:w="1562" w:type="dxa"/>
            <w:noWrap w:val="0"/>
            <w:vAlign w:val="center"/>
          </w:tcPr>
          <w:p w14:paraId="6BC299A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5人</w:t>
            </w:r>
          </w:p>
        </w:tc>
        <w:tc>
          <w:tcPr>
            <w:tcW w:w="1506" w:type="dxa"/>
            <w:noWrap w:val="0"/>
            <w:vAlign w:val="center"/>
          </w:tcPr>
          <w:p w14:paraId="2E6D4FA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15</w:t>
            </w:r>
          </w:p>
        </w:tc>
        <w:tc>
          <w:tcPr>
            <w:tcW w:w="1605" w:type="dxa"/>
            <w:noWrap w:val="0"/>
            <w:vAlign w:val="center"/>
          </w:tcPr>
          <w:p w14:paraId="78172374">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0D5A7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686" w:type="dxa"/>
            <w:noWrap w:val="0"/>
            <w:vAlign w:val="center"/>
          </w:tcPr>
          <w:p w14:paraId="7040D69F">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9</w:t>
            </w:r>
          </w:p>
        </w:tc>
        <w:tc>
          <w:tcPr>
            <w:tcW w:w="3373" w:type="dxa"/>
            <w:noWrap w:val="0"/>
            <w:vAlign w:val="center"/>
          </w:tcPr>
          <w:p w14:paraId="5B72619A">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邀请外聘专家、研判本案重大疑难要点</w:t>
            </w:r>
            <w:r>
              <w:rPr>
                <w:rFonts w:hint="eastAsia" w:ascii="宋体" w:hAnsi="宋体" w:cs="宋体"/>
                <w:snapToGrid w:val="0"/>
                <w:color w:val="000000"/>
                <w:kern w:val="0"/>
                <w:sz w:val="24"/>
                <w:szCs w:val="24"/>
                <w:lang w:val="en-US" w:eastAsia="zh-CN"/>
              </w:rPr>
              <w:t>，对接案件办理过程中遇到的重大问题和决策</w:t>
            </w:r>
          </w:p>
        </w:tc>
        <w:tc>
          <w:tcPr>
            <w:tcW w:w="1562" w:type="dxa"/>
            <w:noWrap w:val="0"/>
            <w:vAlign w:val="center"/>
          </w:tcPr>
          <w:p w14:paraId="5438ED36">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外聘专家</w:t>
            </w:r>
            <w:r>
              <w:rPr>
                <w:rFonts w:hint="eastAsia" w:ascii="宋体" w:hAnsi="宋体" w:cs="宋体"/>
                <w:snapToGrid w:val="0"/>
                <w:color w:val="000000"/>
                <w:kern w:val="0"/>
                <w:sz w:val="24"/>
                <w:szCs w:val="24"/>
                <w:lang w:val="en-US" w:eastAsia="zh-CN"/>
              </w:rPr>
              <w:t>等共6人</w:t>
            </w:r>
          </w:p>
        </w:tc>
        <w:tc>
          <w:tcPr>
            <w:tcW w:w="1506" w:type="dxa"/>
            <w:noWrap w:val="0"/>
            <w:vAlign w:val="center"/>
          </w:tcPr>
          <w:p w14:paraId="67A1B7B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15</w:t>
            </w:r>
          </w:p>
        </w:tc>
        <w:tc>
          <w:tcPr>
            <w:tcW w:w="1605" w:type="dxa"/>
            <w:noWrap w:val="0"/>
            <w:vAlign w:val="center"/>
          </w:tcPr>
          <w:p w14:paraId="3C84E06F">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6AB0A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686" w:type="dxa"/>
            <w:noWrap w:val="0"/>
            <w:vAlign w:val="center"/>
          </w:tcPr>
          <w:p w14:paraId="5E16D257">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10</w:t>
            </w:r>
          </w:p>
        </w:tc>
        <w:tc>
          <w:tcPr>
            <w:tcW w:w="3373" w:type="dxa"/>
            <w:noWrap w:val="0"/>
            <w:vAlign w:val="center"/>
          </w:tcPr>
          <w:p w14:paraId="054D506F">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实地考察贵公司产业链</w:t>
            </w:r>
          </w:p>
        </w:tc>
        <w:tc>
          <w:tcPr>
            <w:tcW w:w="1562" w:type="dxa"/>
            <w:noWrap w:val="0"/>
            <w:vAlign w:val="center"/>
          </w:tcPr>
          <w:p w14:paraId="753B197A">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3人</w:t>
            </w:r>
          </w:p>
        </w:tc>
        <w:tc>
          <w:tcPr>
            <w:tcW w:w="1506" w:type="dxa"/>
            <w:noWrap w:val="0"/>
            <w:vAlign w:val="center"/>
          </w:tcPr>
          <w:p w14:paraId="76C4A813">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12</w:t>
            </w:r>
          </w:p>
        </w:tc>
        <w:tc>
          <w:tcPr>
            <w:tcW w:w="1605" w:type="dxa"/>
            <w:noWrap w:val="0"/>
            <w:vAlign w:val="center"/>
          </w:tcPr>
          <w:p w14:paraId="6F41E0D6">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p>
        </w:tc>
      </w:tr>
      <w:tr w14:paraId="32912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686" w:type="dxa"/>
            <w:noWrap w:val="0"/>
            <w:vAlign w:val="center"/>
          </w:tcPr>
          <w:p w14:paraId="6E43458E">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合计</w:t>
            </w:r>
          </w:p>
        </w:tc>
        <w:tc>
          <w:tcPr>
            <w:tcW w:w="6441" w:type="dxa"/>
            <w:gridSpan w:val="3"/>
            <w:noWrap w:val="0"/>
            <w:vAlign w:val="center"/>
          </w:tcPr>
          <w:p w14:paraId="2DCB1C9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p>
        </w:tc>
        <w:tc>
          <w:tcPr>
            <w:tcW w:w="1605" w:type="dxa"/>
            <w:shd w:val="clear" w:color="auto" w:fill="auto"/>
            <w:noWrap w:val="0"/>
            <w:vAlign w:val="center"/>
          </w:tcPr>
          <w:p w14:paraId="20C47C37">
            <w:pPr>
              <w:widowControl/>
              <w:kinsoku w:val="0"/>
              <w:autoSpaceDE w:val="0"/>
              <w:autoSpaceDN w:val="0"/>
              <w:adjustRightInd w:val="0"/>
              <w:snapToGrid w:val="0"/>
              <w:spacing w:line="240" w:lineRule="auto"/>
              <w:jc w:val="center"/>
              <w:textAlignment w:val="baseline"/>
              <w:rPr>
                <w:rFonts w:hint="eastAsia" w:ascii="宋体" w:hAnsi="宋体" w:cs="宋体"/>
                <w:snapToGrid w:val="0"/>
                <w:color w:val="000000"/>
                <w:kern w:val="0"/>
                <w:sz w:val="24"/>
                <w:szCs w:val="24"/>
                <w:lang w:val="en-US" w:eastAsia="zh-CN"/>
              </w:rPr>
            </w:pPr>
          </w:p>
        </w:tc>
      </w:tr>
    </w:tbl>
    <w:p w14:paraId="1C56C6E7">
      <w:pPr>
        <w:widowControl w:val="0"/>
        <w:numPr>
          <w:ilvl w:val="0"/>
          <w:numId w:val="0"/>
        </w:numPr>
        <w:jc w:val="both"/>
        <w:rPr>
          <w:rFonts w:hint="default"/>
          <w:lang w:val="en-US" w:eastAsia="zh-CN"/>
        </w:rPr>
      </w:pPr>
    </w:p>
    <w:p w14:paraId="6D525530">
      <w:pPr>
        <w:keepNext w:val="0"/>
        <w:keepLines w:val="0"/>
        <w:pageBreakBefore w:val="0"/>
        <w:widowControl w:val="0"/>
        <w:kinsoku/>
        <w:wordWrap/>
        <w:overflowPunct/>
        <w:topLinePunct w:val="0"/>
        <w:autoSpaceDE/>
        <w:autoSpaceDN/>
        <w:bidi w:val="0"/>
        <w:adjustRightInd/>
        <w:snapToGrid/>
        <w:spacing w:before="144" w:beforeLines="50" w:after="144" w:afterLines="50" w:line="360" w:lineRule="auto"/>
        <w:ind w:firstLine="480" w:firstLineChars="200"/>
        <w:jc w:val="left"/>
        <w:textAlignment w:val="auto"/>
        <w:rPr>
          <w:rFonts w:hint="eastAsia" w:ascii="宋体" w:hAnsi="宋体" w:cs="宋体"/>
          <w:b w:val="0"/>
          <w:bCs w:val="0"/>
          <w:sz w:val="24"/>
          <w:szCs w:val="24"/>
          <w:u w:val="none"/>
          <w:lang w:val="en-US" w:eastAsia="zh-CN"/>
        </w:rPr>
      </w:pPr>
      <w:r>
        <w:rPr>
          <w:rFonts w:hint="eastAsia" w:ascii="宋体" w:hAnsi="宋体" w:cs="华文宋体"/>
          <w:bCs/>
          <w:kern w:val="32"/>
          <w:sz w:val="24"/>
          <w:szCs w:val="24"/>
          <w:lang w:bidi="en-US"/>
        </w:rPr>
        <w:t>参照川律协〔2016〕39号</w:t>
      </w:r>
      <w:r>
        <w:rPr>
          <w:rFonts w:hint="eastAsia" w:ascii="宋体" w:hAnsi="宋体" w:cs="华文宋体"/>
          <w:bCs/>
          <w:kern w:val="32"/>
          <w:sz w:val="24"/>
          <w:szCs w:val="24"/>
          <w:lang w:val="en-US" w:eastAsia="zh-CN" w:bidi="en-US"/>
        </w:rPr>
        <w:t>文件并</w:t>
      </w:r>
      <w:r>
        <w:rPr>
          <w:rFonts w:hint="eastAsia" w:ascii="宋体" w:hAnsi="宋体" w:cs="宋体"/>
          <w:b w:val="0"/>
          <w:bCs w:val="0"/>
          <w:sz w:val="24"/>
          <w:szCs w:val="24"/>
          <w:u w:val="none"/>
          <w:lang w:val="en-US" w:eastAsia="zh-CN"/>
        </w:rPr>
        <w:t>根据本所在本案中拟投入的团队成员及需完成的工作内容、预计时长等，本所为贵公司处理该案件提供的服务价值为人民币</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元。承蒙贵公司信赖，本所愿与贵公司建立友好合作关系，故在前述费用基础上给予贵公司一定折扣，基础代理费仅收取</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万元。</w:t>
      </w:r>
    </w:p>
    <w:p w14:paraId="37939F65">
      <w:pPr>
        <w:snapToGrid w:val="0"/>
        <w:spacing w:line="560" w:lineRule="exact"/>
        <w:ind w:firstLine="480" w:firstLineChars="200"/>
        <w:jc w:val="left"/>
        <w:rPr>
          <w:rFonts w:hint="eastAsia" w:ascii="宋体" w:hAnsi="宋体" w:cs="华文宋体"/>
          <w:bCs/>
          <w:kern w:val="32"/>
          <w:sz w:val="24"/>
          <w:szCs w:val="24"/>
          <w:lang w:val="en-US" w:eastAsia="zh-CN" w:bidi="en-US"/>
        </w:rPr>
      </w:pPr>
      <w:r>
        <w:rPr>
          <w:rFonts w:hint="eastAsia" w:ascii="宋体" w:hAnsi="宋体" w:cs="华文宋体"/>
          <w:bCs/>
          <w:kern w:val="32"/>
          <w:sz w:val="24"/>
          <w:szCs w:val="24"/>
          <w:lang w:val="en-US" w:eastAsia="zh-CN" w:bidi="en-US"/>
        </w:rPr>
        <w:t xml:space="preserve">同时，虽然本案涉及 </w:t>
      </w: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lang w:val="en-US" w:eastAsia="zh-CN" w:bidi="en-US"/>
        </w:rPr>
        <w:t>，看似属于涉XX案件，但是本案件本质上非单纯的</w:t>
      </w: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lang w:val="en-US" w:eastAsia="zh-CN" w:bidi="en-US"/>
        </w:rPr>
        <w:t>纠纷案件，其疑难复杂程度非一般诉讼案件可比拟，在证据收集、法律论证、专业程度上对律师均有较高的要求，且</w:t>
      </w: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lang w:val="en-US" w:eastAsia="zh-CN" w:bidi="en-US"/>
        </w:rPr>
        <w:t>的认定与否关系到案涉企业后期的长远发展，故不能简单参考诉讼标的简单粗暴地计取相应律师代理费。【如本案</w:t>
      </w:r>
      <w:r>
        <w:rPr>
          <w:rFonts w:hint="eastAsia" w:ascii="宋体" w:hAnsi="宋体" w:cs="华文宋体"/>
          <w:bCs/>
          <w:kern w:val="32"/>
          <w:sz w:val="24"/>
          <w:szCs w:val="24"/>
          <w:lang w:bidi="en-US"/>
        </w:rPr>
        <w:t>以诉讼标的￥</w:t>
      </w: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lang w:bidi="en-US"/>
        </w:rPr>
        <w:t>元为基数，</w:t>
      </w:r>
      <w:r>
        <w:rPr>
          <w:rFonts w:hint="eastAsia" w:ascii="宋体" w:hAnsi="宋体" w:cs="华文宋体"/>
          <w:bCs/>
          <w:kern w:val="32"/>
          <w:sz w:val="24"/>
          <w:szCs w:val="24"/>
          <w:lang w:val="en-US" w:eastAsia="zh-CN" w:bidi="en-US"/>
        </w:rPr>
        <w:t>则</w:t>
      </w:r>
      <w:r>
        <w:rPr>
          <w:rFonts w:hint="eastAsia" w:ascii="宋体" w:hAnsi="宋体" w:cs="华文宋体"/>
          <w:bCs/>
          <w:kern w:val="32"/>
          <w:sz w:val="24"/>
          <w:szCs w:val="24"/>
          <w:lang w:bidi="en-US"/>
        </w:rPr>
        <w:t>按川律协〔2016〕39号</w:t>
      </w:r>
      <w:r>
        <w:rPr>
          <w:rFonts w:hint="eastAsia" w:ascii="宋体" w:hAnsi="宋体" w:cs="华文宋体"/>
          <w:bCs/>
          <w:kern w:val="32"/>
          <w:sz w:val="24"/>
          <w:szCs w:val="24"/>
          <w:lang w:val="en-US" w:eastAsia="zh-CN" w:bidi="en-US"/>
        </w:rPr>
        <w:t>文件规定的</w:t>
      </w:r>
      <w:r>
        <w:rPr>
          <w:rFonts w:hint="eastAsia" w:ascii="宋体" w:hAnsi="宋体" w:cs="华文宋体"/>
          <w:bCs/>
          <w:kern w:val="32"/>
          <w:sz w:val="24"/>
          <w:szCs w:val="24"/>
          <w:lang w:bidi="en-US"/>
        </w:rPr>
        <w:t>费率最低值且非分段累加方式</w:t>
      </w:r>
      <w:r>
        <w:rPr>
          <w:rFonts w:hint="eastAsia" w:ascii="宋体" w:hAnsi="宋体" w:cs="华文宋体"/>
          <w:bCs/>
          <w:kern w:val="32"/>
          <w:sz w:val="24"/>
          <w:szCs w:val="24"/>
          <w:lang w:val="en-US" w:eastAsia="zh-CN" w:bidi="en-US"/>
        </w:rPr>
        <w:t>计算，本案律师代理费为人民币</w:t>
      </w:r>
    </w:p>
    <w:p w14:paraId="7D59E4BD">
      <w:pPr>
        <w:snapToGrid w:val="0"/>
        <w:spacing w:line="560" w:lineRule="exact"/>
        <w:jc w:val="left"/>
        <w:rPr>
          <w:rFonts w:hint="eastAsia" w:ascii="宋体" w:hAnsi="宋体" w:cs="华文宋体"/>
          <w:bCs/>
          <w:kern w:val="32"/>
          <w:sz w:val="24"/>
          <w:szCs w:val="24"/>
          <w:lang w:eastAsia="zh-CN" w:bidi="en-US"/>
        </w:rPr>
      </w:pP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lang w:val="en-US" w:eastAsia="zh-CN" w:bidi="en-US"/>
        </w:rPr>
        <w:t>元</w:t>
      </w:r>
      <w:r>
        <w:rPr>
          <w:rFonts w:hint="eastAsia" w:ascii="宋体" w:hAnsi="宋体" w:cs="华文宋体"/>
          <w:bCs/>
          <w:kern w:val="32"/>
          <w:sz w:val="24"/>
          <w:szCs w:val="24"/>
          <w:lang w:eastAsia="zh-CN" w:bidi="en-US"/>
        </w:rPr>
        <w:t>】。</w:t>
      </w:r>
    </w:p>
    <w:p w14:paraId="099CD5DC">
      <w:pPr>
        <w:snapToGrid w:val="0"/>
        <w:spacing w:line="560" w:lineRule="exact"/>
        <w:ind w:firstLine="480" w:firstLineChars="200"/>
        <w:jc w:val="left"/>
        <w:rPr>
          <w:rFonts w:hint="eastAsia" w:ascii="宋体" w:hAnsi="宋体" w:cs="华文宋体"/>
          <w:bCs/>
          <w:kern w:val="32"/>
          <w:sz w:val="24"/>
          <w:szCs w:val="24"/>
          <w:lang w:val="en-US" w:eastAsia="zh-CN" w:bidi="en-US"/>
        </w:rPr>
      </w:pPr>
      <w:r>
        <w:rPr>
          <w:rFonts w:hint="eastAsia" w:ascii="宋体" w:hAnsi="宋体" w:cs="华文宋体"/>
          <w:bCs/>
          <w:kern w:val="32"/>
          <w:sz w:val="24"/>
          <w:szCs w:val="24"/>
          <w:lang w:val="en-US" w:eastAsia="zh-CN" w:bidi="en-US"/>
        </w:rPr>
        <w:t>且本案重点在于</w:t>
      </w: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u w:val="none"/>
          <w:lang w:val="en-US" w:eastAsia="zh-CN" w:bidi="en-US"/>
        </w:rPr>
        <w:t>，</w:t>
      </w:r>
      <w:r>
        <w:rPr>
          <w:rFonts w:hint="eastAsia" w:ascii="宋体" w:hAnsi="宋体" w:cs="华文宋体"/>
          <w:bCs/>
          <w:kern w:val="32"/>
          <w:sz w:val="24"/>
          <w:szCs w:val="24"/>
          <w:lang w:val="en-US" w:eastAsia="zh-CN" w:bidi="en-US"/>
        </w:rPr>
        <w:t>则本案俨然成为一场关乎贵公司生死存亡的硝烟战，对代理律师的各方面的要求都是最高标准！故本所拟收取的基础代理费合法合理，亦与案件重大疑难程度相匹配。</w:t>
      </w:r>
    </w:p>
    <w:p w14:paraId="46EC6EE7">
      <w:pPr>
        <w:snapToGrid w:val="0"/>
        <w:spacing w:line="560" w:lineRule="exact"/>
        <w:ind w:firstLine="480" w:firstLineChars="200"/>
        <w:jc w:val="left"/>
        <w:rPr>
          <w:rFonts w:hint="default" w:ascii="宋体" w:hAnsi="宋体" w:cs="华文宋体"/>
          <w:bCs/>
          <w:kern w:val="32"/>
          <w:sz w:val="24"/>
          <w:szCs w:val="24"/>
          <w:lang w:val="en-US" w:eastAsia="zh-CN" w:bidi="en-US"/>
        </w:rPr>
      </w:pPr>
      <w:r>
        <w:rPr>
          <w:rFonts w:hint="eastAsia" w:ascii="宋体" w:hAnsi="宋体" w:cs="华文宋体"/>
          <w:bCs/>
          <w:kern w:val="32"/>
          <w:sz w:val="24"/>
          <w:szCs w:val="24"/>
          <w:lang w:val="en-US" w:eastAsia="zh-CN" w:bidi="en-US"/>
        </w:rPr>
        <w:t>如经本所努力，</w:t>
      </w: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lang w:val="en-US" w:eastAsia="zh-CN" w:bidi="en-US"/>
        </w:rPr>
        <w:t>人民法院认定贵公司不构成</w:t>
      </w: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lang w:val="en-US" w:eastAsia="zh-CN" w:bidi="en-US"/>
        </w:rPr>
        <w:t>责任，属于积极挽回贵公司损失，则本所收取风险代理费</w:t>
      </w:r>
      <w:r>
        <w:rPr>
          <w:rFonts w:hint="eastAsia" w:ascii="宋体" w:hAnsi="宋体" w:cs="华文宋体"/>
          <w:bCs/>
          <w:kern w:val="32"/>
          <w:sz w:val="24"/>
          <w:szCs w:val="24"/>
          <w:u w:val="single"/>
          <w:lang w:val="en-US" w:eastAsia="zh-CN" w:bidi="en-US"/>
        </w:rPr>
        <w:t xml:space="preserve">        </w:t>
      </w:r>
      <w:r>
        <w:rPr>
          <w:rFonts w:hint="eastAsia" w:ascii="宋体" w:hAnsi="宋体" w:cs="华文宋体"/>
          <w:bCs/>
          <w:kern w:val="32"/>
          <w:sz w:val="24"/>
          <w:szCs w:val="24"/>
          <w:lang w:val="en-US" w:eastAsia="zh-CN" w:bidi="en-US"/>
        </w:rPr>
        <w:t>万元符合律师行业惯例、合乎情理。</w:t>
      </w:r>
    </w:p>
    <w:p w14:paraId="50510F1D">
      <w:pPr>
        <w:pStyle w:val="3"/>
        <w:rPr>
          <w:rFonts w:hint="default"/>
          <w:lang w:val="en-US" w:eastAsia="zh-CN"/>
        </w:rPr>
      </w:pPr>
    </w:p>
    <w:p w14:paraId="429F3578">
      <w:pPr>
        <w:spacing w:line="360" w:lineRule="auto"/>
        <w:jc w:val="left"/>
        <w:rPr>
          <w:rFonts w:hint="eastAsia" w:ascii="宋体" w:hAnsi="宋体" w:eastAsia="宋体" w:cs="宋体"/>
          <w:b/>
          <w:bCs/>
          <w:sz w:val="24"/>
          <w:szCs w:val="24"/>
          <w:u w:val="single"/>
        </w:rPr>
      </w:pPr>
    </w:p>
    <w:p w14:paraId="0C65825A">
      <w:pPr>
        <w:spacing w:line="360" w:lineRule="auto"/>
        <w:jc w:val="left"/>
        <w:rPr>
          <w:rFonts w:hint="eastAsia" w:ascii="宋体" w:hAnsi="宋体" w:eastAsia="宋体" w:cs="宋体"/>
          <w:b/>
          <w:bCs/>
          <w:sz w:val="24"/>
          <w:szCs w:val="24"/>
          <w:u w:val="single"/>
        </w:rPr>
      </w:pPr>
    </w:p>
    <w:p w14:paraId="3379EA4A">
      <w:pPr>
        <w:spacing w:line="360" w:lineRule="auto"/>
        <w:jc w:val="left"/>
        <w:rPr>
          <w:rFonts w:hint="eastAsia" w:ascii="宋体" w:hAnsi="宋体" w:eastAsia="宋体" w:cs="宋体"/>
          <w:b/>
          <w:bCs/>
          <w:sz w:val="24"/>
          <w:szCs w:val="24"/>
          <w:u w:val="single"/>
        </w:rPr>
      </w:pPr>
    </w:p>
    <w:p w14:paraId="680879E0">
      <w:pPr>
        <w:spacing w:line="360" w:lineRule="auto"/>
        <w:jc w:val="left"/>
        <w:rPr>
          <w:rFonts w:hint="eastAsia" w:ascii="宋体" w:hAnsi="宋体" w:eastAsia="宋体" w:cs="宋体"/>
          <w:b/>
          <w:bCs/>
          <w:sz w:val="24"/>
          <w:szCs w:val="24"/>
          <w:u w:val="single"/>
        </w:rPr>
      </w:pPr>
    </w:p>
    <w:p w14:paraId="722BCE03">
      <w:pPr>
        <w:spacing w:line="360" w:lineRule="auto"/>
        <w:jc w:val="left"/>
        <w:rPr>
          <w:rFonts w:hint="eastAsia" w:ascii="宋体" w:hAnsi="宋体" w:eastAsia="宋体" w:cs="宋体"/>
          <w:b/>
          <w:bCs/>
          <w:sz w:val="24"/>
          <w:szCs w:val="24"/>
          <w:u w:val="single"/>
        </w:rPr>
      </w:pPr>
    </w:p>
    <w:p w14:paraId="550F14BC">
      <w:pPr>
        <w:spacing w:line="360" w:lineRule="auto"/>
        <w:jc w:val="left"/>
        <w:rPr>
          <w:rFonts w:hint="eastAsia" w:ascii="宋体" w:hAnsi="宋体" w:eastAsia="宋体" w:cs="宋体"/>
          <w:b/>
          <w:bCs/>
          <w:sz w:val="24"/>
          <w:szCs w:val="24"/>
          <w:u w:val="single"/>
        </w:rPr>
      </w:pPr>
    </w:p>
    <w:p w14:paraId="004D773E">
      <w:pPr>
        <w:spacing w:line="360" w:lineRule="auto"/>
        <w:jc w:val="left"/>
        <w:rPr>
          <w:rFonts w:hint="eastAsia" w:ascii="宋体" w:hAnsi="宋体" w:eastAsia="宋体" w:cs="宋体"/>
          <w:b/>
          <w:bCs/>
          <w:sz w:val="24"/>
          <w:szCs w:val="24"/>
          <w:u w:val="single"/>
        </w:rPr>
      </w:pPr>
    </w:p>
    <w:p w14:paraId="5835698E">
      <w:pPr>
        <w:spacing w:line="360" w:lineRule="auto"/>
        <w:jc w:val="left"/>
        <w:rPr>
          <w:rFonts w:hint="eastAsia" w:ascii="宋体" w:hAnsi="宋体" w:eastAsia="宋体" w:cs="宋体"/>
          <w:b/>
          <w:bCs/>
          <w:sz w:val="24"/>
          <w:szCs w:val="24"/>
          <w:u w:val="single"/>
        </w:rPr>
      </w:pPr>
    </w:p>
    <w:p w14:paraId="4DDB166B">
      <w:pPr>
        <w:spacing w:line="360" w:lineRule="auto"/>
        <w:jc w:val="left"/>
        <w:rPr>
          <w:rFonts w:hint="eastAsia" w:ascii="宋体" w:hAnsi="宋体" w:eastAsia="宋体" w:cs="宋体"/>
          <w:b/>
          <w:bCs/>
          <w:sz w:val="24"/>
          <w:szCs w:val="24"/>
          <w:u w:val="single"/>
        </w:rPr>
      </w:pPr>
    </w:p>
    <w:p w14:paraId="23AC1B51">
      <w:pPr>
        <w:spacing w:line="360" w:lineRule="auto"/>
        <w:jc w:val="left"/>
        <w:rPr>
          <w:rFonts w:hint="eastAsia" w:ascii="宋体" w:hAnsi="宋体" w:eastAsia="宋体" w:cs="宋体"/>
          <w:b/>
          <w:bCs/>
          <w:sz w:val="24"/>
          <w:szCs w:val="24"/>
          <w:u w:val="single"/>
        </w:rPr>
      </w:pPr>
    </w:p>
    <w:p w14:paraId="2ECB94BD">
      <w:pPr>
        <w:spacing w:line="360" w:lineRule="auto"/>
        <w:jc w:val="left"/>
        <w:rPr>
          <w:rFonts w:hint="eastAsia" w:ascii="宋体" w:hAnsi="宋体" w:eastAsia="宋体" w:cs="宋体"/>
          <w:b/>
          <w:bCs/>
          <w:sz w:val="24"/>
          <w:szCs w:val="24"/>
          <w:u w:val="single"/>
        </w:rPr>
      </w:pPr>
    </w:p>
    <w:p w14:paraId="22C4DEFB">
      <w:pPr>
        <w:pStyle w:val="2"/>
        <w:keepNext/>
        <w:keepLines/>
        <w:pageBreakBefore w:val="0"/>
        <w:widowControl w:val="0"/>
        <w:kinsoku/>
        <w:wordWrap/>
        <w:overflowPunct/>
        <w:topLinePunct w:val="0"/>
        <w:autoSpaceDE/>
        <w:autoSpaceDN/>
        <w:bidi w:val="0"/>
        <w:adjustRightInd/>
        <w:snapToGrid/>
        <w:spacing w:line="480" w:lineRule="auto"/>
        <w:textAlignment w:val="auto"/>
        <w:rPr>
          <w:rFonts w:hint="default"/>
          <w:sz w:val="30"/>
          <w:szCs w:val="30"/>
          <w:lang w:val="en-US" w:eastAsia="zh-CN"/>
        </w:rPr>
      </w:pPr>
      <w:bookmarkStart w:id="6" w:name="_Toc32664"/>
      <w:bookmarkStart w:id="7" w:name="_Toc21069"/>
      <w:r>
        <w:rPr>
          <w:rFonts w:hint="eastAsia"/>
          <w:sz w:val="30"/>
          <w:szCs w:val="30"/>
          <w:lang w:val="en-US" w:eastAsia="zh-CN"/>
        </w:rPr>
        <w:t>律所荣誉</w:t>
      </w:r>
      <w:bookmarkEnd w:id="6"/>
      <w:bookmarkEnd w:id="7"/>
    </w:p>
    <w:tbl>
      <w:tblPr>
        <w:tblStyle w:val="7"/>
        <w:tblpPr w:leftFromText="180" w:rightFromText="180" w:vertAnchor="text" w:horzAnchor="page" w:tblpX="1678" w:tblpY="306"/>
        <w:tblOverlap w:val="never"/>
        <w:tblW w:w="89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73"/>
        <w:gridCol w:w="2334"/>
        <w:gridCol w:w="1257"/>
        <w:gridCol w:w="4772"/>
      </w:tblGrid>
      <w:tr w14:paraId="68138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2" w:hRule="atLeast"/>
        </w:trPr>
        <w:tc>
          <w:tcPr>
            <w:tcW w:w="573" w:type="dxa"/>
            <w:vAlign w:val="center"/>
          </w:tcPr>
          <w:p w14:paraId="68A2A72A">
            <w:pPr>
              <w:widowControl/>
              <w:kinsoku/>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序号</w:t>
            </w:r>
          </w:p>
        </w:tc>
        <w:tc>
          <w:tcPr>
            <w:tcW w:w="2334" w:type="dxa"/>
            <w:vAlign w:val="center"/>
          </w:tcPr>
          <w:p w14:paraId="029ECBA0">
            <w:pPr>
              <w:widowControl/>
              <w:kinsoku/>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颁发机构</w:t>
            </w:r>
          </w:p>
        </w:tc>
        <w:tc>
          <w:tcPr>
            <w:tcW w:w="1257" w:type="dxa"/>
            <w:vAlign w:val="center"/>
          </w:tcPr>
          <w:p w14:paraId="73DF64D3">
            <w:pPr>
              <w:widowControl/>
              <w:kinsoku/>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颁发时间</w:t>
            </w:r>
          </w:p>
        </w:tc>
        <w:tc>
          <w:tcPr>
            <w:tcW w:w="4772" w:type="dxa"/>
            <w:vAlign w:val="center"/>
          </w:tcPr>
          <w:p w14:paraId="7F695D37">
            <w:pPr>
              <w:widowControl/>
              <w:kinsoku/>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荣誉称号</w:t>
            </w:r>
          </w:p>
        </w:tc>
      </w:tr>
      <w:tr w14:paraId="46AF2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25" w:hRule="atLeast"/>
        </w:trPr>
        <w:tc>
          <w:tcPr>
            <w:tcW w:w="573" w:type="dxa"/>
            <w:vAlign w:val="center"/>
          </w:tcPr>
          <w:p w14:paraId="17E3C148">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c>
          <w:tcPr>
            <w:tcW w:w="2334" w:type="dxa"/>
            <w:vAlign w:val="center"/>
          </w:tcPr>
          <w:p w14:paraId="752E7C71">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成都市司法局</w:t>
            </w:r>
          </w:p>
          <w:p w14:paraId="1F1C1049">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成都市律师协会</w:t>
            </w:r>
          </w:p>
        </w:tc>
        <w:tc>
          <w:tcPr>
            <w:tcW w:w="1257" w:type="dxa"/>
            <w:vAlign w:val="center"/>
          </w:tcPr>
          <w:p w14:paraId="32FB3568">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2016年</w:t>
            </w:r>
          </w:p>
        </w:tc>
        <w:tc>
          <w:tcPr>
            <w:tcW w:w="4772" w:type="dxa"/>
            <w:vAlign w:val="center"/>
          </w:tcPr>
          <w:p w14:paraId="73A79E61">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2014-2016年度成都市优秀律师事务所</w:t>
            </w:r>
          </w:p>
        </w:tc>
      </w:tr>
      <w:tr w14:paraId="02F41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25" w:hRule="atLeast"/>
        </w:trPr>
        <w:tc>
          <w:tcPr>
            <w:tcW w:w="573" w:type="dxa"/>
            <w:vAlign w:val="center"/>
          </w:tcPr>
          <w:p w14:paraId="430E6974">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w:t>
            </w:r>
          </w:p>
        </w:tc>
        <w:tc>
          <w:tcPr>
            <w:tcW w:w="2334" w:type="dxa"/>
            <w:vAlign w:val="center"/>
          </w:tcPr>
          <w:p w14:paraId="399126CB">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成都市律师协会</w:t>
            </w:r>
          </w:p>
        </w:tc>
        <w:tc>
          <w:tcPr>
            <w:tcW w:w="1257" w:type="dxa"/>
            <w:vAlign w:val="center"/>
          </w:tcPr>
          <w:p w14:paraId="3EE00827">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2021年</w:t>
            </w:r>
          </w:p>
        </w:tc>
        <w:tc>
          <w:tcPr>
            <w:tcW w:w="4772" w:type="dxa"/>
            <w:vAlign w:val="center"/>
          </w:tcPr>
          <w:p w14:paraId="01A6BAB2">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2019-2020年度成都市优秀律师事务所</w:t>
            </w:r>
          </w:p>
        </w:tc>
      </w:tr>
      <w:tr w14:paraId="499E9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57" w:hRule="atLeast"/>
        </w:trPr>
        <w:tc>
          <w:tcPr>
            <w:tcW w:w="573" w:type="dxa"/>
            <w:vAlign w:val="center"/>
          </w:tcPr>
          <w:p w14:paraId="32E058F3">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2334" w:type="dxa"/>
            <w:vAlign w:val="center"/>
          </w:tcPr>
          <w:p w14:paraId="54C6F21C">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成都市武侯区司法局、市律协武侯分会</w:t>
            </w:r>
          </w:p>
        </w:tc>
        <w:tc>
          <w:tcPr>
            <w:tcW w:w="1257" w:type="dxa"/>
            <w:vAlign w:val="center"/>
          </w:tcPr>
          <w:p w14:paraId="132613BF">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p>
          <w:p w14:paraId="49C8EBC9">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2021年</w:t>
            </w:r>
          </w:p>
        </w:tc>
        <w:tc>
          <w:tcPr>
            <w:tcW w:w="4772" w:type="dxa"/>
            <w:vAlign w:val="center"/>
          </w:tcPr>
          <w:p w14:paraId="4C73B3BA">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成都市武侯区2020年优秀律师事务所</w:t>
            </w:r>
          </w:p>
        </w:tc>
      </w:tr>
      <w:tr w14:paraId="51B96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5" w:hRule="atLeast"/>
        </w:trPr>
        <w:tc>
          <w:tcPr>
            <w:tcW w:w="573" w:type="dxa"/>
            <w:vAlign w:val="center"/>
          </w:tcPr>
          <w:p w14:paraId="26DDF884">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w:t>
            </w:r>
          </w:p>
        </w:tc>
        <w:tc>
          <w:tcPr>
            <w:tcW w:w="2334" w:type="dxa"/>
            <w:vAlign w:val="center"/>
          </w:tcPr>
          <w:p w14:paraId="4816DED6">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成都市武侯区司法局党组</w:t>
            </w:r>
          </w:p>
        </w:tc>
        <w:tc>
          <w:tcPr>
            <w:tcW w:w="1257" w:type="dxa"/>
            <w:vAlign w:val="center"/>
          </w:tcPr>
          <w:p w14:paraId="7824D541">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2022年</w:t>
            </w:r>
          </w:p>
        </w:tc>
        <w:tc>
          <w:tcPr>
            <w:tcW w:w="4772" w:type="dxa"/>
            <w:vAlign w:val="center"/>
          </w:tcPr>
          <w:p w14:paraId="2B6ABC09">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永茂律师事务所党支部2021年度武侯区律师行业先进党支部</w:t>
            </w:r>
          </w:p>
        </w:tc>
      </w:tr>
      <w:tr w14:paraId="5FCF3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5" w:hRule="atLeast"/>
        </w:trPr>
        <w:tc>
          <w:tcPr>
            <w:tcW w:w="573" w:type="dxa"/>
            <w:vAlign w:val="center"/>
          </w:tcPr>
          <w:p w14:paraId="7BD11671">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5</w:t>
            </w:r>
          </w:p>
        </w:tc>
        <w:tc>
          <w:tcPr>
            <w:tcW w:w="2334" w:type="dxa"/>
            <w:vAlign w:val="center"/>
          </w:tcPr>
          <w:p w14:paraId="7E51020B">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成都市武侯区司法局、律师协会武侯分会</w:t>
            </w:r>
          </w:p>
        </w:tc>
        <w:tc>
          <w:tcPr>
            <w:tcW w:w="1257" w:type="dxa"/>
            <w:vAlign w:val="center"/>
          </w:tcPr>
          <w:p w14:paraId="544A83D0">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2022年</w:t>
            </w:r>
          </w:p>
        </w:tc>
        <w:tc>
          <w:tcPr>
            <w:tcW w:w="4772" w:type="dxa"/>
            <w:vAlign w:val="center"/>
          </w:tcPr>
          <w:p w14:paraId="3AA5AD4F">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2021年度服务党委政府中心工作突出贡献</w:t>
            </w:r>
          </w:p>
          <w:p w14:paraId="5AFB98A3">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律师事务所</w:t>
            </w:r>
          </w:p>
        </w:tc>
      </w:tr>
    </w:tbl>
    <w:p w14:paraId="76C0960B">
      <w:pPr>
        <w:rPr>
          <w:rFonts w:hint="eastAsia" w:ascii="宋体" w:hAnsi="宋体" w:eastAsia="宋体" w:cs="宋体"/>
          <w:b/>
          <w:bCs/>
          <w:sz w:val="24"/>
          <w:szCs w:val="24"/>
          <w:u w:val="single"/>
        </w:rPr>
      </w:pPr>
    </w:p>
    <w:p w14:paraId="03B41702">
      <w:pPr>
        <w:pStyle w:val="3"/>
        <w:rPr>
          <w:rFonts w:hint="eastAsia" w:ascii="宋体" w:hAnsi="宋体" w:eastAsia="宋体" w:cs="宋体"/>
          <w:b/>
          <w:bCs/>
          <w:sz w:val="24"/>
          <w:szCs w:val="24"/>
          <w:u w:val="single"/>
        </w:rPr>
      </w:pPr>
    </w:p>
    <w:p w14:paraId="2D8938B7">
      <w:pPr>
        <w:pStyle w:val="2"/>
        <w:keepNext/>
        <w:keepLines/>
        <w:pageBreakBefore w:val="0"/>
        <w:widowControl w:val="0"/>
        <w:kinsoku/>
        <w:wordWrap/>
        <w:overflowPunct/>
        <w:topLinePunct w:val="0"/>
        <w:autoSpaceDE/>
        <w:autoSpaceDN/>
        <w:bidi w:val="0"/>
        <w:adjustRightInd/>
        <w:snapToGrid/>
        <w:spacing w:line="480" w:lineRule="auto"/>
        <w:textAlignment w:val="auto"/>
        <w:rPr>
          <w:rFonts w:hint="default"/>
          <w:sz w:val="30"/>
          <w:szCs w:val="30"/>
          <w:lang w:val="en-US" w:eastAsia="zh-CN"/>
        </w:rPr>
      </w:pPr>
      <w:r>
        <w:rPr>
          <w:rFonts w:hint="eastAsia"/>
          <w:sz w:val="30"/>
          <w:szCs w:val="30"/>
          <w:lang w:val="en-US" w:eastAsia="zh-CN"/>
        </w:rPr>
        <w:t>团队成员荣誉</w:t>
      </w:r>
    </w:p>
    <w:tbl>
      <w:tblPr>
        <w:tblStyle w:val="7"/>
        <w:tblpPr w:leftFromText="180" w:rightFromText="180" w:vertAnchor="text" w:horzAnchor="page" w:tblpX="1678" w:tblpY="306"/>
        <w:tblOverlap w:val="never"/>
        <w:tblW w:w="891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73"/>
        <w:gridCol w:w="8339"/>
      </w:tblGrid>
      <w:tr w14:paraId="29736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92" w:hRule="atLeast"/>
        </w:trPr>
        <w:tc>
          <w:tcPr>
            <w:tcW w:w="573" w:type="dxa"/>
            <w:vAlign w:val="center"/>
          </w:tcPr>
          <w:p w14:paraId="40A13858">
            <w:pPr>
              <w:widowControl/>
              <w:kinsoku/>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序号</w:t>
            </w:r>
          </w:p>
        </w:tc>
        <w:tc>
          <w:tcPr>
            <w:tcW w:w="8339" w:type="dxa"/>
            <w:vAlign w:val="center"/>
          </w:tcPr>
          <w:p w14:paraId="45447C99">
            <w:pPr>
              <w:widowControl/>
              <w:kinsoku/>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荣誉称号</w:t>
            </w:r>
          </w:p>
        </w:tc>
      </w:tr>
      <w:tr w14:paraId="4C196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80" w:hRule="atLeast"/>
        </w:trPr>
        <w:tc>
          <w:tcPr>
            <w:tcW w:w="573" w:type="dxa"/>
            <w:vAlign w:val="center"/>
          </w:tcPr>
          <w:p w14:paraId="53380568">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1</w:t>
            </w:r>
          </w:p>
        </w:tc>
        <w:tc>
          <w:tcPr>
            <w:tcW w:w="8339" w:type="dxa"/>
            <w:vAlign w:val="center"/>
          </w:tcPr>
          <w:p w14:paraId="60396C4F">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成都市工商联法律维权委员会副秘书长</w:t>
            </w:r>
          </w:p>
        </w:tc>
      </w:tr>
      <w:tr w14:paraId="5F8AF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80" w:hRule="atLeast"/>
        </w:trPr>
        <w:tc>
          <w:tcPr>
            <w:tcW w:w="573" w:type="dxa"/>
            <w:vAlign w:val="center"/>
          </w:tcPr>
          <w:p w14:paraId="08099BFA">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2</w:t>
            </w:r>
          </w:p>
        </w:tc>
        <w:tc>
          <w:tcPr>
            <w:tcW w:w="8339" w:type="dxa"/>
            <w:vAlign w:val="center"/>
          </w:tcPr>
          <w:p w14:paraId="57059C93">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成都市武侯区2020年优秀律师事务所</w:t>
            </w:r>
          </w:p>
        </w:tc>
      </w:tr>
      <w:tr w14:paraId="26DAA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80" w:hRule="atLeast"/>
        </w:trPr>
        <w:tc>
          <w:tcPr>
            <w:tcW w:w="573" w:type="dxa"/>
            <w:vAlign w:val="center"/>
          </w:tcPr>
          <w:p w14:paraId="04EADBB9">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3</w:t>
            </w:r>
          </w:p>
        </w:tc>
        <w:tc>
          <w:tcPr>
            <w:tcW w:w="8339" w:type="dxa"/>
            <w:vAlign w:val="center"/>
          </w:tcPr>
          <w:p w14:paraId="5E4D9D19">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四川法学会航空法学研究会常务理事</w:t>
            </w:r>
          </w:p>
        </w:tc>
      </w:tr>
      <w:tr w14:paraId="4E1F6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80" w:hRule="atLeast"/>
        </w:trPr>
        <w:tc>
          <w:tcPr>
            <w:tcW w:w="573" w:type="dxa"/>
            <w:vAlign w:val="center"/>
          </w:tcPr>
          <w:p w14:paraId="3AAA6EE7">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4</w:t>
            </w:r>
          </w:p>
        </w:tc>
        <w:tc>
          <w:tcPr>
            <w:tcW w:w="8339" w:type="dxa"/>
            <w:vAlign w:val="center"/>
          </w:tcPr>
          <w:p w14:paraId="3AC10579">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成都</w:t>
            </w:r>
            <w:r>
              <w:rPr>
                <w:rFonts w:hint="eastAsia" w:ascii="宋体" w:hAnsi="宋体" w:eastAsia="宋体" w:cs="宋体"/>
                <w:snapToGrid w:val="0"/>
                <w:color w:val="000000"/>
                <w:kern w:val="0"/>
                <w:sz w:val="24"/>
                <w:szCs w:val="24"/>
                <w:lang w:val="en-US" w:eastAsia="zh-CN"/>
              </w:rPr>
              <w:t>天府新区新联会副会长</w:t>
            </w:r>
          </w:p>
        </w:tc>
      </w:tr>
      <w:tr w14:paraId="51A1A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80" w:hRule="atLeast"/>
        </w:trPr>
        <w:tc>
          <w:tcPr>
            <w:tcW w:w="573" w:type="dxa"/>
            <w:vAlign w:val="center"/>
          </w:tcPr>
          <w:p w14:paraId="5695B3FC">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5</w:t>
            </w:r>
          </w:p>
        </w:tc>
        <w:tc>
          <w:tcPr>
            <w:tcW w:w="8339" w:type="dxa"/>
            <w:vAlign w:val="center"/>
          </w:tcPr>
          <w:p w14:paraId="70AEA626">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成都市武侯区优秀青年律师</w:t>
            </w:r>
          </w:p>
        </w:tc>
      </w:tr>
      <w:tr w14:paraId="22193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80" w:hRule="atLeast"/>
        </w:trPr>
        <w:tc>
          <w:tcPr>
            <w:tcW w:w="573" w:type="dxa"/>
            <w:vAlign w:val="center"/>
          </w:tcPr>
          <w:p w14:paraId="62144655">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6</w:t>
            </w:r>
          </w:p>
        </w:tc>
        <w:tc>
          <w:tcPr>
            <w:tcW w:w="8339" w:type="dxa"/>
            <w:vAlign w:val="center"/>
          </w:tcPr>
          <w:p w14:paraId="459F88D7">
            <w:pPr>
              <w:keepNext w:val="0"/>
              <w:keepLines w:val="0"/>
              <w:widowControl/>
              <w:suppressLineNumbers w:val="0"/>
              <w:jc w:val="center"/>
              <w:rPr>
                <w:rFonts w:hint="eastAsia" w:ascii="宋体" w:hAnsi="宋体" w:eastAsia="宋体" w:cs="宋体"/>
                <w:snapToGrid w:val="0"/>
                <w:color w:val="000000"/>
                <w:kern w:val="0"/>
                <w:sz w:val="24"/>
                <w:szCs w:val="24"/>
                <w:lang w:val="en-US" w:eastAsia="zh-CN"/>
              </w:rPr>
            </w:pPr>
            <w:r>
              <w:rPr>
                <w:rFonts w:ascii="宋体" w:hAnsi="宋体" w:eastAsia="宋体" w:cs="宋体"/>
                <w:kern w:val="0"/>
                <w:sz w:val="24"/>
                <w:szCs w:val="24"/>
                <w:lang w:val="en-US" w:eastAsia="zh-CN" w:bidi="ar"/>
              </w:rPr>
              <w:t>成都市律师协会行业规则制定与审查委员会副秘书长</w:t>
            </w:r>
          </w:p>
        </w:tc>
      </w:tr>
    </w:tbl>
    <w:p w14:paraId="7D132F41">
      <w:pPr>
        <w:pStyle w:val="3"/>
        <w:rPr>
          <w:rFonts w:hint="eastAsia" w:ascii="宋体" w:hAnsi="宋体" w:eastAsia="宋体" w:cs="宋体"/>
          <w:b/>
          <w:bCs/>
          <w:sz w:val="24"/>
          <w:szCs w:val="24"/>
          <w:u w:val="single"/>
        </w:rPr>
      </w:pPr>
    </w:p>
    <w:p w14:paraId="1544EB8A">
      <w:pPr>
        <w:pStyle w:val="3"/>
        <w:rPr>
          <w:rFonts w:hint="eastAsia"/>
          <w:b/>
          <w:bCs/>
          <w:lang w:val="en-US" w:eastAsia="zh-CN"/>
        </w:rPr>
      </w:pPr>
    </w:p>
    <w:p w14:paraId="52611223">
      <w:pPr>
        <w:rPr>
          <w:rFonts w:hint="eastAsia"/>
          <w:b/>
          <w:bCs/>
          <w:lang w:val="en-US" w:eastAsia="zh-CN"/>
        </w:rPr>
      </w:pPr>
    </w:p>
    <w:p w14:paraId="4D22F62C">
      <w:pPr>
        <w:pStyle w:val="3"/>
        <w:rPr>
          <w:rFonts w:hint="eastAsia"/>
          <w:b/>
          <w:bCs/>
          <w:lang w:val="en-US" w:eastAsia="zh-CN"/>
        </w:rPr>
      </w:pPr>
    </w:p>
    <w:p w14:paraId="45235EC3">
      <w:pPr>
        <w:pStyle w:val="3"/>
        <w:rPr>
          <w:rFonts w:hint="default"/>
          <w:b/>
          <w:bCs/>
          <w:lang w:val="en-US" w:eastAsia="zh-CN"/>
        </w:rPr>
      </w:pPr>
      <w:r>
        <w:rPr>
          <w:rFonts w:hint="eastAsia"/>
          <w:b/>
          <w:bCs/>
          <w:lang w:val="en-US" w:eastAsia="zh-CN"/>
        </w:rPr>
        <w:t>附件：本次诉讼团队人员简介</w:t>
      </w:r>
    </w:p>
    <w:tbl>
      <w:tblPr>
        <w:tblStyle w:val="7"/>
        <w:tblpPr w:leftFromText="180" w:rightFromText="180" w:vertAnchor="text" w:horzAnchor="page" w:tblpX="1678" w:tblpY="306"/>
        <w:tblOverlap w:val="never"/>
        <w:tblW w:w="89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573"/>
        <w:gridCol w:w="1689"/>
        <w:gridCol w:w="6674"/>
      </w:tblGrid>
      <w:tr w14:paraId="43C37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50" w:hRule="atLeast"/>
        </w:trPr>
        <w:tc>
          <w:tcPr>
            <w:tcW w:w="573" w:type="dxa"/>
            <w:vAlign w:val="center"/>
          </w:tcPr>
          <w:p w14:paraId="5911A53B">
            <w:pPr>
              <w:widowControl/>
              <w:kinsoku/>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4"/>
                <w:szCs w:val="24"/>
                <w:lang w:val="en-US" w:eastAsia="zh-CN"/>
              </w:rPr>
            </w:pPr>
            <w:bookmarkStart w:id="8" w:name="_Toc10539"/>
            <w:r>
              <w:rPr>
                <w:rFonts w:hint="eastAsia" w:ascii="宋体" w:hAnsi="宋体" w:eastAsia="宋体" w:cs="宋体"/>
                <w:b/>
                <w:bCs/>
                <w:snapToGrid w:val="0"/>
                <w:color w:val="000000"/>
                <w:kern w:val="0"/>
                <w:sz w:val="24"/>
                <w:szCs w:val="24"/>
                <w:lang w:val="en-US" w:eastAsia="zh-CN"/>
              </w:rPr>
              <w:t>序号</w:t>
            </w:r>
          </w:p>
        </w:tc>
        <w:tc>
          <w:tcPr>
            <w:tcW w:w="1689" w:type="dxa"/>
            <w:vAlign w:val="center"/>
          </w:tcPr>
          <w:p w14:paraId="678E98BB">
            <w:pPr>
              <w:widowControl/>
              <w:kinsoku/>
              <w:autoSpaceDE w:val="0"/>
              <w:autoSpaceDN w:val="0"/>
              <w:adjustRightInd w:val="0"/>
              <w:snapToGrid w:val="0"/>
              <w:spacing w:line="240" w:lineRule="auto"/>
              <w:jc w:val="center"/>
              <w:textAlignment w:val="baseline"/>
              <w:rPr>
                <w:rFonts w:hint="default" w:ascii="宋体" w:hAnsi="宋体" w:eastAsia="宋体" w:cs="宋体"/>
                <w:b/>
                <w:bCs/>
                <w:snapToGrid w:val="0"/>
                <w:color w:val="000000"/>
                <w:kern w:val="0"/>
                <w:sz w:val="24"/>
                <w:szCs w:val="24"/>
                <w:lang w:val="en-US" w:eastAsia="zh-CN"/>
              </w:rPr>
            </w:pPr>
            <w:r>
              <w:rPr>
                <w:rFonts w:hint="eastAsia" w:ascii="宋体" w:hAnsi="宋体" w:cs="宋体"/>
                <w:b/>
                <w:bCs/>
                <w:snapToGrid w:val="0"/>
                <w:color w:val="000000"/>
                <w:kern w:val="0"/>
                <w:sz w:val="24"/>
                <w:szCs w:val="24"/>
                <w:lang w:val="en-US" w:eastAsia="zh-CN"/>
              </w:rPr>
              <w:t>律师姓名</w:t>
            </w:r>
          </w:p>
        </w:tc>
        <w:tc>
          <w:tcPr>
            <w:tcW w:w="6674" w:type="dxa"/>
            <w:vAlign w:val="center"/>
          </w:tcPr>
          <w:p w14:paraId="5A99F116">
            <w:pPr>
              <w:widowControl/>
              <w:kinsoku/>
              <w:autoSpaceDE w:val="0"/>
              <w:autoSpaceDN w:val="0"/>
              <w:adjustRightInd w:val="0"/>
              <w:snapToGrid w:val="0"/>
              <w:spacing w:line="240" w:lineRule="auto"/>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cs="宋体"/>
                <w:b/>
                <w:bCs/>
                <w:snapToGrid w:val="0"/>
                <w:color w:val="000000"/>
                <w:kern w:val="0"/>
                <w:sz w:val="24"/>
                <w:szCs w:val="24"/>
                <w:lang w:val="en-US" w:eastAsia="zh-CN"/>
              </w:rPr>
              <w:t>人员简介</w:t>
            </w:r>
          </w:p>
        </w:tc>
      </w:tr>
      <w:tr w14:paraId="140B8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25" w:hRule="atLeast"/>
        </w:trPr>
        <w:tc>
          <w:tcPr>
            <w:tcW w:w="573" w:type="dxa"/>
            <w:vAlign w:val="center"/>
          </w:tcPr>
          <w:p w14:paraId="6690EB92">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1</w:t>
            </w:r>
          </w:p>
        </w:tc>
        <w:tc>
          <w:tcPr>
            <w:tcW w:w="1689" w:type="dxa"/>
            <w:vAlign w:val="center"/>
          </w:tcPr>
          <w:p w14:paraId="20768A8A">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6674" w:type="dxa"/>
            <w:vAlign w:val="center"/>
          </w:tcPr>
          <w:p w14:paraId="7DE91512">
            <w:pPr>
              <w:widowControl/>
              <w:kinsoku/>
              <w:autoSpaceDE w:val="0"/>
              <w:autoSpaceDN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r>
              <w:rPr>
                <w:rFonts w:hint="eastAsia" w:ascii="宋体" w:hAnsi="宋体" w:eastAsia="宋体" w:cs="宋体"/>
                <w:snapToGrid w:val="0"/>
                <w:color w:val="000000"/>
                <w:kern w:val="0"/>
                <w:sz w:val="24"/>
                <w:szCs w:val="24"/>
                <w:lang w:val="en-US" w:eastAsia="zh-CN"/>
              </w:rPr>
              <w:t>律师系四川永茂（天府）律师事务所主任，现任中国法学会会员、成都市律师协会行业规则制定与审查委员会副秘书长、成都市工商联法律维权委员会副秘书长、四川法学会航空法学研究会常务理事、天府新区新联会副会长。</w:t>
            </w:r>
          </w:p>
        </w:tc>
      </w:tr>
      <w:tr w14:paraId="2417D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25" w:hRule="atLeast"/>
        </w:trPr>
        <w:tc>
          <w:tcPr>
            <w:tcW w:w="573" w:type="dxa"/>
            <w:vAlign w:val="center"/>
          </w:tcPr>
          <w:p w14:paraId="1C21C3D9">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2</w:t>
            </w:r>
          </w:p>
        </w:tc>
        <w:tc>
          <w:tcPr>
            <w:tcW w:w="1689" w:type="dxa"/>
            <w:vAlign w:val="center"/>
          </w:tcPr>
          <w:p w14:paraId="5AD15DCB">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6674" w:type="dxa"/>
            <w:vAlign w:val="center"/>
          </w:tcPr>
          <w:p w14:paraId="5F9C5A05">
            <w:pPr>
              <w:widowControl/>
              <w:kinsoku/>
              <w:autoSpaceDE w:val="0"/>
              <w:autoSpaceDN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r>
              <w:rPr>
                <w:rFonts w:hint="eastAsia" w:ascii="宋体" w:hAnsi="宋体" w:eastAsia="宋体" w:cs="宋体"/>
                <w:snapToGrid w:val="0"/>
                <w:color w:val="000000"/>
                <w:kern w:val="0"/>
                <w:sz w:val="24"/>
                <w:szCs w:val="24"/>
                <w:lang w:val="en-US" w:eastAsia="zh-CN"/>
              </w:rPr>
              <w:t>律师系四川永茂（天府）律师事务所副主任，高级合伙人。成都市律师协会监督与惩戒委员会秘书、爱国拥军联合会秘书、成都市残疾人联合会维权处法律顾问、泰源保险法律顾问、南极房地产开发有限公司法律顾问。</w:t>
            </w:r>
          </w:p>
        </w:tc>
      </w:tr>
      <w:tr w14:paraId="30193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57" w:hRule="atLeast"/>
        </w:trPr>
        <w:tc>
          <w:tcPr>
            <w:tcW w:w="573" w:type="dxa"/>
            <w:vAlign w:val="center"/>
          </w:tcPr>
          <w:p w14:paraId="4A6B530F">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3</w:t>
            </w:r>
          </w:p>
        </w:tc>
        <w:tc>
          <w:tcPr>
            <w:tcW w:w="1689" w:type="dxa"/>
            <w:vAlign w:val="center"/>
          </w:tcPr>
          <w:p w14:paraId="3125DFBD">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6674" w:type="dxa"/>
            <w:vAlign w:val="center"/>
          </w:tcPr>
          <w:p w14:paraId="2A9C7932">
            <w:pPr>
              <w:widowControl/>
              <w:kinsoku/>
              <w:autoSpaceDE w:val="0"/>
              <w:autoSpaceDN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bookmarkStart w:id="9" w:name="_GoBack"/>
            <w:bookmarkEnd w:id="9"/>
            <w:r>
              <w:rPr>
                <w:rFonts w:hint="eastAsia" w:ascii="宋体" w:hAnsi="宋体" w:cs="宋体"/>
                <w:snapToGrid w:val="0"/>
                <w:color w:val="000000"/>
                <w:kern w:val="0"/>
                <w:sz w:val="24"/>
                <w:szCs w:val="24"/>
                <w:lang w:val="en-US" w:eastAsia="zh-CN"/>
              </w:rPr>
              <w:t>律师</w:t>
            </w:r>
            <w:r>
              <w:rPr>
                <w:rFonts w:hint="eastAsia" w:ascii="宋体" w:hAnsi="宋体" w:eastAsia="宋体" w:cs="宋体"/>
                <w:snapToGrid w:val="0"/>
                <w:color w:val="000000"/>
                <w:kern w:val="0"/>
                <w:sz w:val="24"/>
                <w:szCs w:val="24"/>
                <w:lang w:val="en-US" w:eastAsia="zh-CN"/>
              </w:rPr>
              <w:t>系四川永茂（天府）律师事务所</w:t>
            </w:r>
            <w:r>
              <w:rPr>
                <w:rFonts w:hint="eastAsia" w:ascii="宋体" w:hAnsi="宋体" w:cs="宋体"/>
                <w:snapToGrid w:val="0"/>
                <w:color w:val="000000"/>
                <w:kern w:val="0"/>
                <w:sz w:val="24"/>
                <w:szCs w:val="24"/>
                <w:lang w:val="en-US" w:eastAsia="zh-CN"/>
              </w:rPr>
              <w:t>专职</w:t>
            </w:r>
            <w:r>
              <w:rPr>
                <w:rFonts w:hint="eastAsia" w:ascii="宋体" w:hAnsi="宋体" w:eastAsia="宋体" w:cs="宋体"/>
                <w:snapToGrid w:val="0"/>
                <w:color w:val="000000"/>
                <w:kern w:val="0"/>
                <w:sz w:val="24"/>
                <w:szCs w:val="24"/>
                <w:lang w:val="en-US" w:eastAsia="zh-CN"/>
              </w:rPr>
              <w:t>律师，西南财经大学法学学士，参与办理</w:t>
            </w:r>
            <w:r>
              <w:rPr>
                <w:rFonts w:hint="eastAsia" w:ascii="宋体" w:hAnsi="宋体" w:cs="宋体"/>
                <w:snapToGrid w:val="0"/>
                <w:color w:val="000000"/>
                <w:kern w:val="0"/>
                <w:sz w:val="24"/>
                <w:szCs w:val="24"/>
                <w:lang w:val="en-US" w:eastAsia="zh-CN"/>
              </w:rPr>
              <w:t>了多起</w:t>
            </w:r>
            <w:r>
              <w:rPr>
                <w:rFonts w:hint="eastAsia" w:ascii="宋体" w:hAnsi="宋体" w:eastAsia="宋体" w:cs="宋体"/>
                <w:snapToGrid w:val="0"/>
                <w:color w:val="000000"/>
                <w:kern w:val="0"/>
                <w:sz w:val="24"/>
                <w:szCs w:val="24"/>
                <w:lang w:val="en-US" w:eastAsia="zh-CN"/>
              </w:rPr>
              <w:t>房产地产、建筑工程、投资融资和经济合同等方面重大民商事纠纷案件。</w:t>
            </w:r>
          </w:p>
        </w:tc>
      </w:tr>
      <w:tr w14:paraId="63CBB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5" w:hRule="atLeast"/>
        </w:trPr>
        <w:tc>
          <w:tcPr>
            <w:tcW w:w="573" w:type="dxa"/>
            <w:vAlign w:val="center"/>
          </w:tcPr>
          <w:p w14:paraId="5F71D997">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4</w:t>
            </w:r>
          </w:p>
        </w:tc>
        <w:tc>
          <w:tcPr>
            <w:tcW w:w="1689" w:type="dxa"/>
            <w:vAlign w:val="center"/>
          </w:tcPr>
          <w:p w14:paraId="4C3D1DE5">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6674" w:type="dxa"/>
            <w:vAlign w:val="center"/>
          </w:tcPr>
          <w:p w14:paraId="44BA0D49">
            <w:pPr>
              <w:widowControl/>
              <w:kinsoku/>
              <w:autoSpaceDE w:val="0"/>
              <w:autoSpaceDN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XXX律师</w:t>
            </w:r>
            <w:r>
              <w:rPr>
                <w:rFonts w:hint="eastAsia" w:ascii="宋体" w:hAnsi="宋体" w:eastAsia="宋体" w:cs="宋体"/>
                <w:snapToGrid w:val="0"/>
                <w:color w:val="000000"/>
                <w:kern w:val="0"/>
                <w:sz w:val="24"/>
                <w:szCs w:val="24"/>
                <w:lang w:val="en-US" w:eastAsia="zh-CN"/>
              </w:rPr>
              <w:t>系四川永茂（天府）律师事务所授薪律师，硕士学位，主要从事国有企业的常年法律顾问工作、公司治理、股权架构设计等法律服务。</w:t>
            </w:r>
            <w:r>
              <w:rPr>
                <w:rFonts w:hint="eastAsia" w:ascii="宋体" w:hAnsi="宋体" w:cs="宋体"/>
                <w:snapToGrid w:val="0"/>
                <w:color w:val="000000"/>
                <w:kern w:val="0"/>
                <w:sz w:val="24"/>
                <w:szCs w:val="24"/>
                <w:lang w:val="en-US" w:eastAsia="zh-CN"/>
              </w:rPr>
              <w:t>其</w:t>
            </w:r>
            <w:r>
              <w:rPr>
                <w:rFonts w:hint="eastAsia" w:ascii="宋体" w:hAnsi="宋体" w:eastAsia="宋体" w:cs="宋体"/>
                <w:snapToGrid w:val="0"/>
                <w:color w:val="000000"/>
                <w:kern w:val="0"/>
                <w:sz w:val="24"/>
                <w:szCs w:val="24"/>
                <w:lang w:val="en-US" w:eastAsia="zh-CN"/>
              </w:rPr>
              <w:t>以审慎的态度服务于顾问单位，认真负责，注重理论与实践相结合，能从多角度思考问题，并热爱学习，善于沟通，能够有效解决顾问单位所提出的问题。</w:t>
            </w:r>
          </w:p>
        </w:tc>
      </w:tr>
      <w:tr w14:paraId="148C8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465" w:hRule="atLeast"/>
        </w:trPr>
        <w:tc>
          <w:tcPr>
            <w:tcW w:w="573" w:type="dxa"/>
            <w:vAlign w:val="center"/>
          </w:tcPr>
          <w:p w14:paraId="41D3A2AC">
            <w:pPr>
              <w:widowControl/>
              <w:kinsoku/>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5</w:t>
            </w:r>
          </w:p>
        </w:tc>
        <w:tc>
          <w:tcPr>
            <w:tcW w:w="1689" w:type="dxa"/>
            <w:vAlign w:val="center"/>
          </w:tcPr>
          <w:p w14:paraId="7BD88C8F">
            <w:pPr>
              <w:widowControl/>
              <w:kinsoku/>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w:t>
            </w:r>
          </w:p>
        </w:tc>
        <w:tc>
          <w:tcPr>
            <w:tcW w:w="6674" w:type="dxa"/>
            <w:vAlign w:val="center"/>
          </w:tcPr>
          <w:p w14:paraId="2A7FA2B7">
            <w:pPr>
              <w:widowControl/>
              <w:kinsoku/>
              <w:autoSpaceDE w:val="0"/>
              <w:autoSpaceDN w:val="0"/>
              <w:adjustRightInd w:val="0"/>
              <w:snapToGrid w:val="0"/>
              <w:spacing w:line="440" w:lineRule="exact"/>
              <w:ind w:firstLine="480" w:firstLineChars="2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cs="宋体"/>
                <w:snapToGrid w:val="0"/>
                <w:color w:val="000000"/>
                <w:kern w:val="0"/>
                <w:sz w:val="24"/>
                <w:szCs w:val="24"/>
                <w:lang w:val="en-US" w:eastAsia="zh-CN"/>
              </w:rPr>
              <w:t>XXX律师</w:t>
            </w:r>
            <w:r>
              <w:rPr>
                <w:rFonts w:hint="eastAsia" w:ascii="宋体" w:hAnsi="宋体" w:eastAsia="宋体" w:cs="宋体"/>
                <w:snapToGrid w:val="0"/>
                <w:color w:val="000000"/>
                <w:kern w:val="0"/>
                <w:sz w:val="24"/>
                <w:szCs w:val="24"/>
                <w:lang w:val="en-US" w:eastAsia="zh-CN"/>
              </w:rPr>
              <w:t>系四川永茂（天府）律师事务所实习律师，西南财经大学法学学士，参与办理</w:t>
            </w:r>
            <w:r>
              <w:rPr>
                <w:rFonts w:hint="eastAsia" w:ascii="宋体" w:hAnsi="宋体" w:cs="宋体"/>
                <w:snapToGrid w:val="0"/>
                <w:color w:val="000000"/>
                <w:kern w:val="0"/>
                <w:sz w:val="24"/>
                <w:szCs w:val="24"/>
                <w:lang w:val="en-US" w:eastAsia="zh-CN"/>
              </w:rPr>
              <w:t>了多起</w:t>
            </w:r>
            <w:r>
              <w:rPr>
                <w:rFonts w:hint="eastAsia" w:ascii="宋体" w:hAnsi="宋体" w:eastAsia="宋体" w:cs="宋体"/>
                <w:snapToGrid w:val="0"/>
                <w:color w:val="000000"/>
                <w:kern w:val="0"/>
                <w:sz w:val="24"/>
                <w:szCs w:val="24"/>
                <w:lang w:val="en-US" w:eastAsia="zh-CN"/>
              </w:rPr>
              <w:t>房产地产、建筑工程、投资融资和经济合同等方面重大民商事纠纷案件。</w:t>
            </w:r>
          </w:p>
        </w:tc>
      </w:tr>
    </w:tbl>
    <w:p w14:paraId="18E6D8CF">
      <w:pPr>
        <w:keepNext w:val="0"/>
        <w:keepLines w:val="0"/>
        <w:pageBreakBefore w:val="0"/>
        <w:widowControl w:val="0"/>
        <w:numPr>
          <w:ilvl w:val="0"/>
          <w:numId w:val="0"/>
        </w:numPr>
        <w:tabs>
          <w:tab w:val="left" w:pos="2790"/>
          <w:tab w:val="center" w:pos="4819"/>
          <w:tab w:val="left" w:pos="5430"/>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kern w:val="2"/>
          <w:sz w:val="24"/>
          <w:szCs w:val="22"/>
          <w:lang w:val="en-US" w:eastAsia="zh-CN" w:bidi="ar-SA"/>
        </w:rPr>
      </w:pPr>
    </w:p>
    <w:bookmarkEnd w:id="8"/>
    <w:p w14:paraId="5A38D2DD">
      <w:pPr>
        <w:numPr>
          <w:ilvl w:val="0"/>
          <w:numId w:val="0"/>
        </w:numPr>
        <w:tabs>
          <w:tab w:val="left" w:pos="2790"/>
          <w:tab w:val="center" w:pos="4819"/>
          <w:tab w:val="left" w:pos="5430"/>
        </w:tabs>
        <w:adjustRightInd/>
        <w:spacing w:line="360" w:lineRule="auto"/>
        <w:ind w:firstLine="0" w:firstLineChars="0"/>
        <w:jc w:val="both"/>
        <w:textAlignment w:val="auto"/>
        <w:outlineLvl w:val="9"/>
        <w:rPr>
          <w:rFonts w:hint="eastAsia"/>
          <w:lang w:eastAsia="zh-CN"/>
        </w:rPr>
      </w:pPr>
    </w:p>
    <w:p w14:paraId="67F15864">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480" w:lineRule="exact"/>
        <w:ind w:left="0" w:right="0" w:firstLine="480" w:firstLineChars="200"/>
        <w:jc w:val="both"/>
        <w:textAlignment w:val="auto"/>
        <w:rPr>
          <w:rFonts w:hint="eastAsia" w:ascii="宋体" w:hAnsi="宋体" w:eastAsia="宋体" w:cs="宋体"/>
          <w:color w:val="000000"/>
          <w:kern w:val="24"/>
          <w:sz w:val="24"/>
          <w:szCs w:val="24"/>
          <w:lang w:val="en-US" w:eastAsia="zh-CN" w:bidi="ar"/>
        </w:rPr>
      </w:pPr>
    </w:p>
    <w:p w14:paraId="2BF2C48B">
      <w:pPr>
        <w:jc w:val="center"/>
        <w:rPr>
          <w:rFonts w:hint="eastAsia" w:ascii="宋体" w:hAnsi="宋体" w:eastAsia="宋体" w:cs="宋体"/>
          <w:b/>
          <w:bCs/>
          <w:sz w:val="28"/>
          <w:szCs w:val="28"/>
        </w:rPr>
      </w:pPr>
    </w:p>
    <w:p w14:paraId="1C50292F"/>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1576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91439">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E91439">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94E43">
    <w:pPr>
      <w:pStyle w:val="5"/>
    </w:pPr>
    <w:r>
      <w:drawing>
        <wp:inline distT="0" distB="0" distL="114300" distR="114300">
          <wp:extent cx="1109345" cy="41783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r="342" b="5595"/>
                  <a:stretch>
                    <a:fillRect/>
                  </a:stretch>
                </pic:blipFill>
                <pic:spPr>
                  <a:xfrm>
                    <a:off x="0" y="0"/>
                    <a:ext cx="1109345" cy="417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D0319"/>
    <w:multiLevelType w:val="singleLevel"/>
    <w:tmpl w:val="7EED03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4134D"/>
    <w:rsid w:val="134B6495"/>
    <w:rsid w:val="13E144EE"/>
    <w:rsid w:val="35A35F0C"/>
    <w:rsid w:val="3A626BB2"/>
    <w:rsid w:val="52C033D3"/>
    <w:rsid w:val="54B4134D"/>
    <w:rsid w:val="6C107D1C"/>
    <w:rsid w:val="7DFF74E1"/>
    <w:rsid w:val="7FAFC5C5"/>
    <w:rsid w:val="7FF0B692"/>
    <w:rsid w:val="BF7754F8"/>
    <w:rsid w:val="E3FF043E"/>
    <w:rsid w:val="FFFEB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 w:after="50" w:afterLines="50" w:line="579" w:lineRule="auto"/>
      <w:jc w:val="center"/>
      <w:outlineLvl w:val="0"/>
    </w:pPr>
    <w:rPr>
      <w:rFonts w:ascii="Times New Roman" w:hAnsi="Times New Roman" w:eastAsia="宋体"/>
      <w:b/>
      <w:bCs/>
      <w:kern w:val="44"/>
      <w:sz w:val="30"/>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adjustRightInd w:val="0"/>
      <w:spacing w:line="336" w:lineRule="auto"/>
      <w:jc w:val="left"/>
      <w:textAlignment w:val="baseline"/>
    </w:pPr>
    <w:rPr>
      <w:rFonts w:ascii="Arial" w:hAnsi="Arial" w:cs="黑体"/>
      <w:sz w:val="24"/>
      <w:szCs w:val="2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line="360" w:lineRule="auto"/>
      <w:ind w:firstLine="200" w:firstLineChars="200"/>
      <w:jc w:val="left"/>
    </w:pPr>
    <w:rPr>
      <w:rFonts w:ascii="宋体" w:hAnsi="宋体" w:cs="宋体"/>
      <w:kern w:val="0"/>
    </w:rPr>
  </w:style>
  <w:style w:type="table" w:customStyle="1" w:styleId="9">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2984</Words>
  <Characters>3088</Characters>
  <Lines>0</Lines>
  <Paragraphs>0</Paragraphs>
  <TotalTime>4</TotalTime>
  <ScaleCrop>false</ScaleCrop>
  <LinksUpToDate>false</LinksUpToDate>
  <CharactersWithSpaces>3226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2025-03-12T14:40:00Z</dcterms:created>
  <dc:creator>wtf</dc:creator>
  <cp:lastModifiedBy>wtf</cp:lastModifiedBy>
  <dcterms:modified xsi:type="dcterms:W3CDTF">2026-06-02T07:16:46Z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34EEA682251B40AFA86383AB1302BB37_13</vt:lpwstr>
  </property>
  <property fmtid="{D5CDD505-2E9C-101B-9397-08002B2CF9AE}" pid="4" name="KSOTemplateDocerSaveRecord">
    <vt:lpwstr>eyJoZGlkIjoiNWIyZDVhZmExNDhkMDRiMGY3Y2Q2YWNhZWU4ZmVkNGQiLCJ1c2VySWQiOiI3NzExNjM5MjkifQ==</vt:lpwstr>
  </property>
  <property fmtid="{D5CDD505-2E9C-101B-9397-08002B2CF9AE}" pid="5" name="AIGC">
    <vt:lpwstr>{"Label":"1","ContentProducer":"001191110102MACQD9K64018705","ProduceID":"4425947747194228_0/project_7646634318433108234-files/用户上传/永茂（天府）诉讼项目报价文件【模版】_1780385400525_0_6zbx.docx","ReservedCode1":"","ContentPropagator":"001191110102MACQD9K64028705","PropagateID":"4425947747194228#1780385419650","ReservedCode2":""}</vt:lpwstr>
  </property>
</Properties>
</file>